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75" w:rsidRDefault="00564975" w:rsidP="0017304C">
      <w:pPr>
        <w:pStyle w:val="BodyText3"/>
        <w:rPr>
          <w:rFonts w:ascii="Bookman Old Style" w:hAnsi="Bookman Old Style" w:cs="Bookman Old Style"/>
          <w:sz w:val="20"/>
          <w:szCs w:val="20"/>
        </w:rPr>
      </w:pPr>
      <w:bookmarkStart w:id="0" w:name="_GoBack"/>
      <w:bookmarkEnd w:id="0"/>
      <w:r w:rsidRPr="004D12A1">
        <w:rPr>
          <w:rFonts w:ascii="Bookman Old Style" w:hAnsi="Bookman Old Style" w:cs="Bookman Old Style"/>
          <w:sz w:val="20"/>
          <w:szCs w:val="20"/>
        </w:rPr>
        <w:t xml:space="preserve">Programma di vaccinazione con vaccino </w:t>
      </w:r>
      <w:r>
        <w:rPr>
          <w:rFonts w:ascii="Bookman Old Style" w:hAnsi="Bookman Old Style" w:cs="Bookman Old Style"/>
          <w:sz w:val="20"/>
          <w:szCs w:val="20"/>
        </w:rPr>
        <w:t xml:space="preserve">anti-pneumococcico </w:t>
      </w:r>
      <w:r w:rsidRPr="004D12A1">
        <w:rPr>
          <w:rFonts w:ascii="Bookman Old Style" w:hAnsi="Bookman Old Style" w:cs="Bookman Old Style"/>
          <w:sz w:val="20"/>
          <w:szCs w:val="20"/>
        </w:rPr>
        <w:t xml:space="preserve">coniugato </w:t>
      </w:r>
      <w:r>
        <w:rPr>
          <w:rFonts w:ascii="Bookman Old Style" w:hAnsi="Bookman Old Style" w:cs="Bookman Old Style"/>
          <w:sz w:val="20"/>
          <w:szCs w:val="20"/>
        </w:rPr>
        <w:t>(</w:t>
      </w:r>
      <w:r w:rsidRPr="004D12A1">
        <w:rPr>
          <w:rFonts w:ascii="Bookman Old Style" w:hAnsi="Bookman Old Style" w:cs="Bookman Old Style"/>
          <w:sz w:val="20"/>
          <w:szCs w:val="20"/>
        </w:rPr>
        <w:t>PCV</w:t>
      </w:r>
      <w:r>
        <w:rPr>
          <w:rFonts w:ascii="Bookman Old Style" w:hAnsi="Bookman Old Style" w:cs="Bookman Old Style"/>
          <w:sz w:val="20"/>
          <w:szCs w:val="20"/>
        </w:rPr>
        <w:t>)</w:t>
      </w:r>
      <w:r w:rsidRPr="004D12A1">
        <w:rPr>
          <w:rFonts w:ascii="Bookman Old Style" w:hAnsi="Bookman Old Style" w:cs="Bookman Old Style"/>
          <w:sz w:val="20"/>
          <w:szCs w:val="20"/>
        </w:rPr>
        <w:t xml:space="preserve"> 13-valente</w:t>
      </w:r>
    </w:p>
    <w:p w:rsidR="00564975" w:rsidRPr="004D12A1" w:rsidRDefault="00564975" w:rsidP="0017304C">
      <w:pPr>
        <w:pStyle w:val="BodyText3"/>
        <w:rPr>
          <w:rFonts w:ascii="Bookman Old Style" w:hAnsi="Bookman Old Style" w:cs="Bookman Old Style"/>
          <w:sz w:val="20"/>
          <w:szCs w:val="20"/>
        </w:rPr>
      </w:pPr>
    </w:p>
    <w:p w:rsidR="00564975" w:rsidRDefault="00564975" w:rsidP="0017304C">
      <w:pPr>
        <w:pStyle w:val="BodyText3"/>
        <w:rPr>
          <w:rFonts w:ascii="Bookman Old Style" w:hAnsi="Bookman Old Style" w:cs="Bookman Old Style"/>
          <w:sz w:val="20"/>
          <w:szCs w:val="20"/>
        </w:rPr>
      </w:pPr>
      <w:r w:rsidRPr="004D12A1">
        <w:rPr>
          <w:rFonts w:ascii="Bookman Old Style" w:hAnsi="Bookman Old Style" w:cs="Bookman Old Style"/>
          <w:sz w:val="20"/>
          <w:szCs w:val="20"/>
        </w:rPr>
        <w:t>Nota operativa sintetica</w:t>
      </w:r>
    </w:p>
    <w:p w:rsidR="00564975" w:rsidRPr="004D12A1" w:rsidRDefault="00564975" w:rsidP="0017304C">
      <w:pPr>
        <w:pStyle w:val="BodyText3"/>
        <w:rPr>
          <w:rFonts w:ascii="Bookman Old Style" w:hAnsi="Bookman Old Style" w:cs="Bookman Old Style"/>
          <w:sz w:val="20"/>
          <w:szCs w:val="20"/>
        </w:rPr>
      </w:pPr>
    </w:p>
    <w:p w:rsidR="00564975" w:rsidRPr="004D12A1" w:rsidRDefault="00564975" w:rsidP="0017304C">
      <w:pPr>
        <w:pStyle w:val="BodyText3"/>
        <w:rPr>
          <w:rFonts w:ascii="Bookman Old Style" w:hAnsi="Bookman Old Style" w:cs="Bookman Old Style"/>
          <w:sz w:val="20"/>
          <w:szCs w:val="20"/>
        </w:rPr>
      </w:pPr>
    </w:p>
    <w:p w:rsidR="00564975" w:rsidRPr="004D12A1" w:rsidRDefault="00564975" w:rsidP="00CB214B">
      <w:pPr>
        <w:pStyle w:val="BodyText3"/>
        <w:jc w:val="left"/>
        <w:rPr>
          <w:rFonts w:ascii="Bookman Old Style" w:hAnsi="Bookman Old Style" w:cs="Bookman Old Style"/>
          <w:sz w:val="20"/>
          <w:szCs w:val="20"/>
        </w:rPr>
      </w:pPr>
      <w:r w:rsidRPr="004D12A1">
        <w:rPr>
          <w:rFonts w:ascii="Bookman Old Style" w:hAnsi="Bookman Old Style" w:cs="Bookman Old Style"/>
          <w:sz w:val="20"/>
          <w:szCs w:val="20"/>
        </w:rPr>
        <w:t>1) Strategia d’intervento e popolazione bersaglio</w:t>
      </w:r>
    </w:p>
    <w:p w:rsidR="00564975" w:rsidRPr="004D12A1" w:rsidRDefault="00564975" w:rsidP="0017304C">
      <w:pPr>
        <w:jc w:val="center"/>
        <w:rPr>
          <w:rFonts w:ascii="Bookman Old Style" w:hAnsi="Bookman Old Style" w:cs="Bookman Old Style"/>
          <w:sz w:val="20"/>
          <w:szCs w:val="20"/>
        </w:rPr>
      </w:pPr>
    </w:p>
    <w:p w:rsidR="00564975" w:rsidRPr="004D12A1" w:rsidRDefault="00564975" w:rsidP="00176C7F">
      <w:pPr>
        <w:spacing w:line="360" w:lineRule="auto"/>
        <w:jc w:val="both"/>
        <w:rPr>
          <w:rFonts w:ascii="Bookman Old Style" w:hAnsi="Bookman Old Style" w:cs="Bookman Old Style"/>
          <w:sz w:val="20"/>
          <w:szCs w:val="20"/>
        </w:rPr>
      </w:pPr>
      <w:r w:rsidRPr="004D12A1">
        <w:rPr>
          <w:rFonts w:ascii="Bookman Old Style" w:hAnsi="Bookman Old Style" w:cs="Bookman Old Style"/>
          <w:sz w:val="20"/>
          <w:szCs w:val="20"/>
        </w:rPr>
        <w:t xml:space="preserve">A partire dal 15 ottobre 2015, la Regione Lazio avvia un Programma </w:t>
      </w:r>
      <w:r>
        <w:rPr>
          <w:rFonts w:ascii="Bookman Old Style" w:hAnsi="Bookman Old Style" w:cs="Bookman Old Style"/>
          <w:sz w:val="20"/>
          <w:szCs w:val="20"/>
        </w:rPr>
        <w:t xml:space="preserve">di vaccinazione </w:t>
      </w:r>
      <w:r w:rsidRPr="004D12A1">
        <w:rPr>
          <w:rFonts w:ascii="Bookman Old Style" w:hAnsi="Bookman Old Style" w:cs="Bookman Old Style"/>
          <w:sz w:val="20"/>
          <w:szCs w:val="20"/>
        </w:rPr>
        <w:t xml:space="preserve">con vaccino </w:t>
      </w:r>
      <w:r>
        <w:rPr>
          <w:rFonts w:ascii="Bookman Old Style" w:hAnsi="Bookman Old Style" w:cs="Bookman Old Style"/>
          <w:sz w:val="20"/>
          <w:szCs w:val="20"/>
        </w:rPr>
        <w:t xml:space="preserve">anti-pneumococcico </w:t>
      </w:r>
      <w:r w:rsidRPr="004D12A1">
        <w:rPr>
          <w:rFonts w:ascii="Bookman Old Style" w:hAnsi="Bookman Old Style" w:cs="Bookman Old Style"/>
          <w:sz w:val="20"/>
          <w:szCs w:val="20"/>
        </w:rPr>
        <w:t xml:space="preserve">coniugato </w:t>
      </w:r>
      <w:r>
        <w:rPr>
          <w:rFonts w:ascii="Bookman Old Style" w:hAnsi="Bookman Old Style" w:cs="Bookman Old Style"/>
          <w:sz w:val="20"/>
          <w:szCs w:val="20"/>
        </w:rPr>
        <w:t>(</w:t>
      </w:r>
      <w:r w:rsidRPr="004D12A1">
        <w:rPr>
          <w:rFonts w:ascii="Bookman Old Style" w:hAnsi="Bookman Old Style" w:cs="Bookman Old Style"/>
          <w:sz w:val="20"/>
          <w:szCs w:val="20"/>
        </w:rPr>
        <w:t>PCV</w:t>
      </w:r>
      <w:r>
        <w:rPr>
          <w:rFonts w:ascii="Bookman Old Style" w:hAnsi="Bookman Old Style" w:cs="Bookman Old Style"/>
          <w:sz w:val="20"/>
          <w:szCs w:val="20"/>
        </w:rPr>
        <w:t>)</w:t>
      </w:r>
      <w:r w:rsidRPr="004D12A1">
        <w:rPr>
          <w:rFonts w:ascii="Bookman Old Style" w:hAnsi="Bookman Old Style" w:cs="Bookman Old Style"/>
          <w:sz w:val="20"/>
          <w:szCs w:val="20"/>
        </w:rPr>
        <w:t xml:space="preserve"> 13-valente</w:t>
      </w:r>
      <w:r>
        <w:rPr>
          <w:rFonts w:ascii="Bookman Old Style" w:hAnsi="Bookman Old Style" w:cs="Bookman Old Style"/>
          <w:sz w:val="20"/>
          <w:szCs w:val="20"/>
        </w:rPr>
        <w:t xml:space="preserve">. </w:t>
      </w:r>
      <w:r w:rsidRPr="004D12A1">
        <w:rPr>
          <w:rFonts w:ascii="Bookman Old Style" w:hAnsi="Bookman Old Style" w:cs="Bookman Old Style"/>
          <w:sz w:val="20"/>
          <w:szCs w:val="20"/>
        </w:rPr>
        <w:t>La popolazione cui la Regione Lazio, attraverso i Servizi vaccinali aziendali, i Medici di Medicina Generale (MMG), ed i Pediatri di Libera Scelta (PLS), offre attivamente e gratuitamente la vaccinazione anti-pneumococcica con vaccino coniugato 13-valente è costituita dalle seguenti categorie:</w:t>
      </w:r>
    </w:p>
    <w:p w:rsidR="00564975" w:rsidRPr="004D12A1" w:rsidRDefault="00564975" w:rsidP="00FD6B11">
      <w:pPr>
        <w:pStyle w:val="ListParagraph"/>
        <w:numPr>
          <w:ilvl w:val="0"/>
          <w:numId w:val="6"/>
        </w:numPr>
        <w:spacing w:line="360" w:lineRule="auto"/>
        <w:jc w:val="both"/>
        <w:rPr>
          <w:rFonts w:ascii="Bookman Old Style" w:hAnsi="Bookman Old Style" w:cs="Bookman Old Style"/>
          <w:sz w:val="20"/>
          <w:szCs w:val="20"/>
        </w:rPr>
      </w:pPr>
      <w:r w:rsidRPr="00774912">
        <w:rPr>
          <w:rFonts w:ascii="Bookman Old Style" w:hAnsi="Bookman Old Style" w:cs="Bookman Old Style"/>
          <w:b/>
          <w:bCs/>
          <w:sz w:val="20"/>
          <w:szCs w:val="20"/>
        </w:rPr>
        <w:t>Soggetti a rischio per età. Rientrano in questa categoria tutti i soggetti di età ≥ 65 anni</w:t>
      </w:r>
      <w:r w:rsidRPr="004D12A1">
        <w:rPr>
          <w:rFonts w:ascii="Bookman Old Style" w:hAnsi="Bookman Old Style" w:cs="Bookman Old Style"/>
          <w:sz w:val="20"/>
          <w:szCs w:val="20"/>
        </w:rPr>
        <w:t xml:space="preserve">. </w:t>
      </w:r>
      <w:r w:rsidRPr="00774912">
        <w:rPr>
          <w:rFonts w:ascii="Bookman Old Style" w:hAnsi="Bookman Old Style" w:cs="Bookman Old Style"/>
          <w:b/>
          <w:bCs/>
          <w:sz w:val="20"/>
          <w:szCs w:val="20"/>
        </w:rPr>
        <w:t>La strategia di offerta annuale si basa su tre coorti di nascita, rispettivamente dei 65enni, 70enni e 75enni</w:t>
      </w:r>
      <w:r w:rsidRPr="004D12A1">
        <w:rPr>
          <w:rFonts w:ascii="Bookman Old Style" w:hAnsi="Bookman Old Style" w:cs="Bookman Old Style"/>
          <w:sz w:val="20"/>
          <w:szCs w:val="20"/>
        </w:rPr>
        <w:t xml:space="preserve">, in modo da coprire nell’arco di 5 anni la fascia d’età 65-80 anni. Le coorti di nascita sono così identificate: </w:t>
      </w:r>
      <w:r w:rsidRPr="00774912">
        <w:rPr>
          <w:rFonts w:ascii="Bookman Old Style" w:hAnsi="Bookman Old Style" w:cs="Bookman Old Style"/>
          <w:b/>
          <w:bCs/>
          <w:sz w:val="20"/>
          <w:szCs w:val="20"/>
        </w:rPr>
        <w:t>per il 2015, coorti 1950, 1945, 1940</w:t>
      </w:r>
      <w:r w:rsidRPr="004D12A1">
        <w:rPr>
          <w:rFonts w:ascii="Bookman Old Style" w:hAnsi="Bookman Old Style" w:cs="Bookman Old Style"/>
          <w:sz w:val="20"/>
          <w:szCs w:val="20"/>
        </w:rPr>
        <w:t>; per il 2016 coorti 1951, 1946, 1941; per il 2017 coorti 1952, 1947, 1942; per il 2018 coorti 1953, 1948, 1943; per il 2019 coorti 1954, 1949, 1944. A partire dal 2020 (6</w:t>
      </w:r>
      <w:r w:rsidRPr="004D12A1">
        <w:rPr>
          <w:rFonts w:ascii="Bookman Old Style" w:hAnsi="Bookman Old Style" w:cs="Bookman Old Style"/>
          <w:sz w:val="20"/>
          <w:szCs w:val="20"/>
          <w:vertAlign w:val="superscript"/>
        </w:rPr>
        <w:t xml:space="preserve">0 </w:t>
      </w:r>
      <w:r w:rsidRPr="004D12A1">
        <w:rPr>
          <w:rFonts w:ascii="Bookman Old Style" w:hAnsi="Bookman Old Style" w:cs="Bookman Old Style"/>
          <w:sz w:val="20"/>
          <w:szCs w:val="20"/>
        </w:rPr>
        <w:t>anno) la vaccinazione sarà limitata alla sola coorte dei 65enni (coorte 1955). I soggetti appartenenti ad una coorte, non vaccinati nell’anno di intervento programmato per quella coorte, possono essere vaccinati negli anni successivi.</w:t>
      </w:r>
    </w:p>
    <w:p w:rsidR="00564975" w:rsidRPr="004D12A1" w:rsidRDefault="00564975" w:rsidP="00785FD3">
      <w:pPr>
        <w:pStyle w:val="ListParagraph"/>
        <w:numPr>
          <w:ilvl w:val="0"/>
          <w:numId w:val="6"/>
        </w:numPr>
        <w:spacing w:line="360" w:lineRule="auto"/>
        <w:ind w:left="714" w:hanging="357"/>
        <w:jc w:val="both"/>
        <w:rPr>
          <w:rFonts w:ascii="Bookman Old Style" w:hAnsi="Bookman Old Style" w:cs="Bookman Old Style"/>
          <w:sz w:val="20"/>
          <w:szCs w:val="20"/>
        </w:rPr>
      </w:pPr>
      <w:r w:rsidRPr="00774912">
        <w:rPr>
          <w:rFonts w:ascii="Bookman Old Style" w:hAnsi="Bookman Old Style" w:cs="Bookman Old Style"/>
          <w:b/>
          <w:bCs/>
          <w:sz w:val="20"/>
          <w:szCs w:val="20"/>
        </w:rPr>
        <w:t>Soggetti di età compresa tra ≥ 2 anni e &lt; 65 anni, a rischio di contrarre la malattia per la presenza delle seguenti patologie o condizioni predisponenti</w:t>
      </w:r>
      <w:r w:rsidRPr="004D12A1">
        <w:rPr>
          <w:rFonts w:ascii="Bookman Old Style" w:hAnsi="Bookman Old Style" w:cs="Bookman Old Style"/>
          <w:sz w:val="20"/>
          <w:szCs w:val="20"/>
        </w:rPr>
        <w:t xml:space="preserve">: </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Cardiopatie croniche</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Malattie polmonari croniche</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Diabete Mellito</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Epatopatie croniche, inclusa la cirrosi epatica e le epatopatie croniche evolutive da alcool</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Alcoolismo cronico</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Soggetti con perdite liquorali da traumi o intervento</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Presenza di impianto cocleare</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Emoglobinopatie quali anemia falciforme e talassemia</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 xml:space="preserve">Immunodeficienze congenite o acquisite </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Infezione da HIV</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Condizioni di asplenia anatomica o funzionale e pazienti candidati alla splenectomia</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Patologie onco-ematologiche (leucemie, linfomi e mieloma multiplo)</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Neoplasie diffuse</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Trapianto d’organo o di midollo</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 xml:space="preserve">Patologie richiedenti un trattamento immunosoppressivo a lungo termine </w:t>
      </w:r>
    </w:p>
    <w:p w:rsidR="00564975" w:rsidRPr="004D12A1" w:rsidRDefault="00564975" w:rsidP="00785FD3">
      <w:pPr>
        <w:numPr>
          <w:ilvl w:val="0"/>
          <w:numId w:val="7"/>
        </w:numPr>
        <w:spacing w:line="360" w:lineRule="auto"/>
        <w:ind w:left="714" w:hanging="357"/>
        <w:jc w:val="both"/>
        <w:rPr>
          <w:rFonts w:ascii="Bookman Old Style" w:hAnsi="Bookman Old Style" w:cs="Bookman Old Style"/>
          <w:sz w:val="20"/>
          <w:szCs w:val="20"/>
        </w:rPr>
      </w:pPr>
      <w:r w:rsidRPr="004D12A1">
        <w:rPr>
          <w:rFonts w:ascii="Bookman Old Style" w:hAnsi="Bookman Old Style" w:cs="Bookman Old Style"/>
          <w:sz w:val="20"/>
          <w:szCs w:val="20"/>
        </w:rPr>
        <w:t>Sindrome nefrosica o insufficienza renale cronica</w:t>
      </w:r>
    </w:p>
    <w:p w:rsidR="00564975" w:rsidRDefault="00564975" w:rsidP="003B18C0">
      <w:pPr>
        <w:spacing w:line="340" w:lineRule="exact"/>
        <w:jc w:val="both"/>
        <w:rPr>
          <w:rFonts w:ascii="Bookman Old Style" w:hAnsi="Bookman Old Style" w:cs="Bookman Old Style"/>
          <w:b/>
          <w:bCs/>
          <w:sz w:val="20"/>
          <w:szCs w:val="20"/>
        </w:rPr>
        <w:sectPr w:rsidR="00564975" w:rsidSect="00600610">
          <w:footerReference w:type="default" r:id="rId7"/>
          <w:headerReference w:type="first" r:id="rId8"/>
          <w:footerReference w:type="first" r:id="rId9"/>
          <w:pgSz w:w="11906" w:h="16838"/>
          <w:pgMar w:top="1417" w:right="1134" w:bottom="1134" w:left="1134" w:header="708" w:footer="708" w:gutter="0"/>
          <w:cols w:space="708"/>
          <w:titlePg/>
          <w:docGrid w:linePitch="360"/>
        </w:sectPr>
      </w:pPr>
    </w:p>
    <w:p w:rsidR="00564975" w:rsidRPr="008339CB" w:rsidRDefault="00564975" w:rsidP="003B18C0">
      <w:pPr>
        <w:spacing w:line="340" w:lineRule="exact"/>
        <w:jc w:val="both"/>
        <w:rPr>
          <w:rFonts w:ascii="Bookman Old Style" w:hAnsi="Bookman Old Style" w:cs="Bookman Old Style"/>
          <w:b/>
          <w:bCs/>
          <w:sz w:val="20"/>
          <w:szCs w:val="20"/>
        </w:rPr>
      </w:pPr>
      <w:r w:rsidRPr="008339CB">
        <w:rPr>
          <w:rFonts w:ascii="Bookman Old Style" w:hAnsi="Bookman Old Style" w:cs="Bookman Old Style"/>
          <w:b/>
          <w:bCs/>
          <w:sz w:val="20"/>
          <w:szCs w:val="20"/>
        </w:rPr>
        <w:t>Si raccomanda l’utilizzazione della campagna di vaccinazione antinfluenzale quale occasione opportuna di immunizzazione anche contro lo pneumococco. Tuttavia, non essendo quella pneumococcica una vaccinazione da ripetersi annualmente, si richiama l’attenzione sull’opportunità di utilizzare tutti i periodi dell’anno per l’offerta attiva e gratuita.</w:t>
      </w:r>
    </w:p>
    <w:p w:rsidR="00564975" w:rsidRPr="004D12A1" w:rsidRDefault="00564975" w:rsidP="00B64FFD">
      <w:pPr>
        <w:spacing w:line="360" w:lineRule="auto"/>
        <w:jc w:val="both"/>
        <w:rPr>
          <w:rFonts w:ascii="Bookman Old Style" w:hAnsi="Bookman Old Style" w:cs="Bookman Old Style"/>
          <w:sz w:val="20"/>
          <w:szCs w:val="20"/>
        </w:rPr>
      </w:pPr>
    </w:p>
    <w:p w:rsidR="00564975" w:rsidRPr="004D12A1" w:rsidRDefault="00564975" w:rsidP="00CB214B">
      <w:pPr>
        <w:pStyle w:val="BodyText3"/>
        <w:jc w:val="left"/>
        <w:rPr>
          <w:rFonts w:ascii="Bookman Old Style" w:hAnsi="Bookman Old Style" w:cs="Bookman Old Style"/>
          <w:sz w:val="20"/>
          <w:szCs w:val="20"/>
        </w:rPr>
      </w:pPr>
      <w:r w:rsidRPr="004D12A1">
        <w:rPr>
          <w:rFonts w:ascii="Bookman Old Style" w:hAnsi="Bookman Old Style" w:cs="Bookman Old Style"/>
          <w:sz w:val="20"/>
          <w:szCs w:val="20"/>
        </w:rPr>
        <w:t>2) Obiettivi di copertura</w:t>
      </w:r>
    </w:p>
    <w:p w:rsidR="00564975" w:rsidRPr="004D12A1" w:rsidRDefault="00564975">
      <w:pPr>
        <w:rPr>
          <w:rFonts w:ascii="Bookman Old Style" w:hAnsi="Bookman Old Style" w:cs="Bookman Old Style"/>
          <w:sz w:val="20"/>
          <w:szCs w:val="20"/>
        </w:rPr>
      </w:pPr>
    </w:p>
    <w:p w:rsidR="00564975" w:rsidRDefault="00564975" w:rsidP="00157D47">
      <w:pPr>
        <w:spacing w:line="360" w:lineRule="auto"/>
        <w:jc w:val="both"/>
        <w:rPr>
          <w:rFonts w:ascii="Bookman Old Style" w:hAnsi="Bookman Old Style" w:cs="Bookman Old Style"/>
          <w:sz w:val="20"/>
          <w:szCs w:val="20"/>
        </w:rPr>
      </w:pPr>
      <w:r w:rsidRPr="004D12A1">
        <w:rPr>
          <w:rFonts w:ascii="Bookman Old Style" w:hAnsi="Bookman Old Style" w:cs="Bookman Old Style"/>
          <w:sz w:val="20"/>
          <w:szCs w:val="20"/>
        </w:rPr>
        <w:t>La Regione Lazio individua nel 75% l’obiettivo minimo di copertura da raggiungere, nel tempo, sia sulla popolazione anziana che sui soggetti appartenenti alle categorie bersaglio di cui al precedente punto 1, lettera b.</w:t>
      </w:r>
    </w:p>
    <w:p w:rsidR="00564975" w:rsidRPr="004D12A1" w:rsidRDefault="00564975" w:rsidP="00157D47">
      <w:pPr>
        <w:spacing w:line="360" w:lineRule="auto"/>
        <w:jc w:val="both"/>
        <w:rPr>
          <w:rFonts w:ascii="Bookman Old Style" w:hAnsi="Bookman Old Style" w:cs="Bookman Old Style"/>
          <w:sz w:val="20"/>
          <w:szCs w:val="20"/>
        </w:rPr>
      </w:pPr>
      <w:r w:rsidRPr="004D12A1">
        <w:rPr>
          <w:rFonts w:ascii="Bookman Old Style" w:hAnsi="Bookman Old Style" w:cs="Bookman Old Style"/>
          <w:sz w:val="20"/>
          <w:szCs w:val="20"/>
        </w:rPr>
        <w:t>In particolare, per quanto riguarda le coorti annuali di nascita degli anziani di cui al precedente punto 1, lettera a, si stabiliscono le seguenti percentuali intermedie di copertura per coorte</w:t>
      </w:r>
      <w:r>
        <w:rPr>
          <w:rFonts w:ascii="Bookman Old Style" w:hAnsi="Bookman Old Style" w:cs="Bookman Old Style"/>
          <w:sz w:val="20"/>
          <w:szCs w:val="20"/>
        </w:rPr>
        <w:t xml:space="preserve"> per anno</w:t>
      </w:r>
      <w:r w:rsidRPr="004D12A1">
        <w:rPr>
          <w:rFonts w:ascii="Bookman Old Style" w:hAnsi="Bookman Old Style" w:cs="Bookman Old Style"/>
          <w:sz w:val="20"/>
          <w:szCs w:val="20"/>
        </w:rPr>
        <w:t>, valide sia per l’ASL che per il singolo MMG sulla propria popolazione assistita:</w:t>
      </w:r>
    </w:p>
    <w:p w:rsidR="00564975" w:rsidRPr="002750C6" w:rsidRDefault="00564975" w:rsidP="002750C6">
      <w:pPr>
        <w:pStyle w:val="ListParagraph"/>
        <w:numPr>
          <w:ilvl w:val="0"/>
          <w:numId w:val="12"/>
        </w:numPr>
        <w:spacing w:line="360" w:lineRule="auto"/>
        <w:jc w:val="both"/>
        <w:rPr>
          <w:rFonts w:ascii="Bookman Old Style" w:hAnsi="Bookman Old Style" w:cs="Bookman Old Style"/>
          <w:sz w:val="20"/>
          <w:szCs w:val="20"/>
        </w:rPr>
      </w:pPr>
      <w:r w:rsidRPr="002750C6">
        <w:rPr>
          <w:rFonts w:ascii="Bookman Old Style" w:hAnsi="Bookman Old Style" w:cs="Bookman Old Style"/>
          <w:sz w:val="20"/>
          <w:szCs w:val="20"/>
        </w:rPr>
        <w:t>primo anno: 30%</w:t>
      </w:r>
    </w:p>
    <w:p w:rsidR="00564975" w:rsidRPr="002750C6" w:rsidRDefault="00564975" w:rsidP="002750C6">
      <w:pPr>
        <w:pStyle w:val="ListParagraph"/>
        <w:numPr>
          <w:ilvl w:val="0"/>
          <w:numId w:val="12"/>
        </w:numPr>
        <w:spacing w:line="360" w:lineRule="auto"/>
        <w:jc w:val="both"/>
        <w:rPr>
          <w:rFonts w:ascii="Bookman Old Style" w:hAnsi="Bookman Old Style" w:cs="Bookman Old Style"/>
          <w:sz w:val="20"/>
          <w:szCs w:val="20"/>
        </w:rPr>
      </w:pPr>
      <w:r w:rsidRPr="002750C6">
        <w:rPr>
          <w:rFonts w:ascii="Bookman Old Style" w:hAnsi="Bookman Old Style" w:cs="Bookman Old Style"/>
          <w:sz w:val="20"/>
          <w:szCs w:val="20"/>
        </w:rPr>
        <w:t>secondo anno: 40%</w:t>
      </w:r>
    </w:p>
    <w:p w:rsidR="00564975" w:rsidRPr="002750C6" w:rsidRDefault="00564975" w:rsidP="002750C6">
      <w:pPr>
        <w:pStyle w:val="ListParagraph"/>
        <w:numPr>
          <w:ilvl w:val="0"/>
          <w:numId w:val="12"/>
        </w:numPr>
        <w:spacing w:line="360" w:lineRule="auto"/>
        <w:jc w:val="both"/>
        <w:rPr>
          <w:rFonts w:ascii="Bookman Old Style" w:hAnsi="Bookman Old Style" w:cs="Bookman Old Style"/>
          <w:sz w:val="20"/>
          <w:szCs w:val="20"/>
        </w:rPr>
      </w:pPr>
      <w:r w:rsidRPr="002750C6">
        <w:rPr>
          <w:rFonts w:ascii="Bookman Old Style" w:hAnsi="Bookman Old Style" w:cs="Bookman Old Style"/>
          <w:sz w:val="20"/>
          <w:szCs w:val="20"/>
        </w:rPr>
        <w:t>terzo anno: 50%</w:t>
      </w:r>
    </w:p>
    <w:p w:rsidR="00564975" w:rsidRPr="002750C6" w:rsidRDefault="00564975" w:rsidP="002750C6">
      <w:pPr>
        <w:pStyle w:val="ListParagraph"/>
        <w:numPr>
          <w:ilvl w:val="0"/>
          <w:numId w:val="12"/>
        </w:numPr>
        <w:spacing w:line="360" w:lineRule="auto"/>
        <w:jc w:val="both"/>
        <w:rPr>
          <w:rFonts w:ascii="Bookman Old Style" w:hAnsi="Bookman Old Style" w:cs="Bookman Old Style"/>
          <w:sz w:val="20"/>
          <w:szCs w:val="20"/>
        </w:rPr>
      </w:pPr>
      <w:r w:rsidRPr="002750C6">
        <w:rPr>
          <w:rFonts w:ascii="Bookman Old Style" w:hAnsi="Bookman Old Style" w:cs="Bookman Old Style"/>
          <w:sz w:val="20"/>
          <w:szCs w:val="20"/>
        </w:rPr>
        <w:t>quarto anno: 60%</w:t>
      </w:r>
    </w:p>
    <w:p w:rsidR="00564975" w:rsidRPr="002750C6" w:rsidRDefault="00564975" w:rsidP="002750C6">
      <w:pPr>
        <w:pStyle w:val="ListParagraph"/>
        <w:numPr>
          <w:ilvl w:val="0"/>
          <w:numId w:val="12"/>
        </w:numPr>
        <w:spacing w:line="360" w:lineRule="auto"/>
        <w:jc w:val="both"/>
        <w:rPr>
          <w:rFonts w:ascii="Bookman Old Style" w:hAnsi="Bookman Old Style" w:cs="Bookman Old Style"/>
          <w:sz w:val="20"/>
          <w:szCs w:val="20"/>
        </w:rPr>
      </w:pPr>
      <w:r w:rsidRPr="002750C6">
        <w:rPr>
          <w:rFonts w:ascii="Bookman Old Style" w:hAnsi="Bookman Old Style" w:cs="Bookman Old Style"/>
          <w:sz w:val="20"/>
          <w:szCs w:val="20"/>
        </w:rPr>
        <w:t>quinto anno: 7</w:t>
      </w:r>
      <w:r>
        <w:rPr>
          <w:rFonts w:ascii="Bookman Old Style" w:hAnsi="Bookman Old Style" w:cs="Bookman Old Style"/>
          <w:sz w:val="20"/>
          <w:szCs w:val="20"/>
        </w:rPr>
        <w:t>5%</w:t>
      </w:r>
    </w:p>
    <w:p w:rsidR="00564975" w:rsidRPr="004D12A1" w:rsidRDefault="00564975" w:rsidP="00157D47">
      <w:pPr>
        <w:spacing w:line="360" w:lineRule="auto"/>
        <w:jc w:val="both"/>
        <w:rPr>
          <w:rFonts w:ascii="Bookman Old Style" w:hAnsi="Bookman Old Style" w:cs="Bookman Old Style"/>
          <w:sz w:val="20"/>
          <w:szCs w:val="20"/>
        </w:rPr>
      </w:pPr>
    </w:p>
    <w:p w:rsidR="00564975" w:rsidRDefault="00564975" w:rsidP="004D12A1">
      <w:pPr>
        <w:pStyle w:val="BodyText3"/>
        <w:jc w:val="left"/>
        <w:rPr>
          <w:rFonts w:ascii="Bookman Old Style" w:hAnsi="Bookman Old Style" w:cs="Bookman Old Style"/>
          <w:sz w:val="20"/>
          <w:szCs w:val="20"/>
        </w:rPr>
      </w:pPr>
      <w:r w:rsidRPr="004D12A1">
        <w:rPr>
          <w:rFonts w:ascii="Bookman Old Style" w:hAnsi="Bookman Old Style" w:cs="Bookman Old Style"/>
          <w:sz w:val="20"/>
          <w:szCs w:val="20"/>
        </w:rPr>
        <w:t>3) Ruolo delle Aziende USL</w:t>
      </w:r>
    </w:p>
    <w:p w:rsidR="00564975" w:rsidRPr="004D12A1" w:rsidRDefault="00564975" w:rsidP="004D12A1">
      <w:pPr>
        <w:pStyle w:val="BodyText3"/>
        <w:jc w:val="left"/>
        <w:rPr>
          <w:rFonts w:ascii="Bookman Old Style" w:hAnsi="Bookman Old Style" w:cs="Bookman Old Style"/>
          <w:sz w:val="20"/>
          <w:szCs w:val="20"/>
        </w:rPr>
      </w:pPr>
    </w:p>
    <w:p w:rsidR="00564975" w:rsidRDefault="00564975" w:rsidP="00560A8B">
      <w:pPr>
        <w:pStyle w:val="BodyText"/>
        <w:spacing w:before="0" w:line="360" w:lineRule="auto"/>
        <w:rPr>
          <w:rFonts w:ascii="Bookman Old Style" w:hAnsi="Bookman Old Style" w:cs="Bookman Old Style"/>
          <w:i w:val="0"/>
          <w:iCs w:val="0"/>
          <w:sz w:val="20"/>
          <w:szCs w:val="20"/>
          <w:u w:val="none"/>
        </w:rPr>
      </w:pPr>
      <w:r>
        <w:rPr>
          <w:rFonts w:ascii="Bookman Old Style" w:hAnsi="Bookman Old Style" w:cs="Bookman Old Style"/>
          <w:i w:val="0"/>
          <w:iCs w:val="0"/>
          <w:sz w:val="20"/>
          <w:szCs w:val="20"/>
          <w:u w:val="none"/>
        </w:rPr>
        <w:t xml:space="preserve">In sede di avvio del programma, le Aziende USL </w:t>
      </w:r>
      <w:r w:rsidRPr="004D12A1">
        <w:rPr>
          <w:rFonts w:ascii="Bookman Old Style" w:hAnsi="Bookman Old Style" w:cs="Bookman Old Style"/>
          <w:i w:val="0"/>
          <w:iCs w:val="0"/>
          <w:sz w:val="20"/>
          <w:szCs w:val="20"/>
          <w:u w:val="none"/>
        </w:rPr>
        <w:t>garantisc</w:t>
      </w:r>
      <w:r>
        <w:rPr>
          <w:rFonts w:ascii="Bookman Old Style" w:hAnsi="Bookman Old Style" w:cs="Bookman Old Style"/>
          <w:i w:val="0"/>
          <w:iCs w:val="0"/>
          <w:sz w:val="20"/>
          <w:szCs w:val="20"/>
          <w:u w:val="none"/>
        </w:rPr>
        <w:t>ono</w:t>
      </w:r>
      <w:r w:rsidRPr="004D12A1">
        <w:rPr>
          <w:rFonts w:ascii="Bookman Old Style" w:hAnsi="Bookman Old Style" w:cs="Bookman Old Style"/>
          <w:i w:val="0"/>
          <w:iCs w:val="0"/>
          <w:sz w:val="20"/>
          <w:szCs w:val="20"/>
          <w:u w:val="none"/>
        </w:rPr>
        <w:t xml:space="preserve"> l’invio del</w:t>
      </w:r>
      <w:r>
        <w:rPr>
          <w:rFonts w:ascii="Bookman Old Style" w:hAnsi="Bookman Old Style" w:cs="Bookman Old Style"/>
          <w:i w:val="0"/>
          <w:iCs w:val="0"/>
          <w:sz w:val="20"/>
          <w:szCs w:val="20"/>
          <w:u w:val="none"/>
        </w:rPr>
        <w:t xml:space="preserve">la presente Nota operativa </w:t>
      </w:r>
      <w:r w:rsidRPr="004D12A1">
        <w:rPr>
          <w:rFonts w:ascii="Bookman Old Style" w:hAnsi="Bookman Old Style" w:cs="Bookman Old Style"/>
          <w:i w:val="0"/>
          <w:iCs w:val="0"/>
          <w:sz w:val="20"/>
          <w:szCs w:val="20"/>
          <w:u w:val="none"/>
        </w:rPr>
        <w:t>entro il 03/10/2015 a tutti i soggetti vaccinatori, MMG/PLS e Serv</w:t>
      </w:r>
      <w:r>
        <w:rPr>
          <w:rFonts w:ascii="Bookman Old Style" w:hAnsi="Bookman Old Style" w:cs="Bookman Old Style"/>
          <w:i w:val="0"/>
          <w:iCs w:val="0"/>
          <w:sz w:val="20"/>
          <w:szCs w:val="20"/>
          <w:u w:val="none"/>
        </w:rPr>
        <w:t xml:space="preserve">izi aziendali di vaccinazione e, attraverso l’Allegato 1 debitamente compilato, </w:t>
      </w:r>
      <w:r w:rsidRPr="004D12A1">
        <w:rPr>
          <w:rFonts w:ascii="Bookman Old Style" w:hAnsi="Bookman Old Style" w:cs="Bookman Old Style"/>
          <w:i w:val="0"/>
          <w:iCs w:val="0"/>
          <w:sz w:val="20"/>
          <w:szCs w:val="20"/>
          <w:u w:val="none"/>
        </w:rPr>
        <w:t>acquisisc</w:t>
      </w:r>
      <w:r>
        <w:rPr>
          <w:rFonts w:ascii="Bookman Old Style" w:hAnsi="Bookman Old Style" w:cs="Bookman Old Style"/>
          <w:i w:val="0"/>
          <w:iCs w:val="0"/>
          <w:sz w:val="20"/>
          <w:szCs w:val="20"/>
          <w:u w:val="none"/>
        </w:rPr>
        <w:t>ono</w:t>
      </w:r>
      <w:r w:rsidRPr="004D12A1">
        <w:rPr>
          <w:rFonts w:ascii="Bookman Old Style" w:hAnsi="Bookman Old Style" w:cs="Bookman Old Style"/>
          <w:i w:val="0"/>
          <w:iCs w:val="0"/>
          <w:sz w:val="20"/>
          <w:szCs w:val="20"/>
          <w:u w:val="none"/>
        </w:rPr>
        <w:t xml:space="preserve"> entro il 08/10/2015 le stime del numero di dosi di vaccino necessarie dagli stessi indicate.</w:t>
      </w:r>
      <w:r>
        <w:rPr>
          <w:rFonts w:ascii="Bookman Old Style" w:hAnsi="Bookman Old Style" w:cs="Bookman Old Style"/>
          <w:i w:val="0"/>
          <w:iCs w:val="0"/>
          <w:sz w:val="20"/>
          <w:szCs w:val="20"/>
          <w:u w:val="none"/>
        </w:rPr>
        <w:t xml:space="preserve"> Esse </w:t>
      </w:r>
      <w:r w:rsidRPr="004D12A1">
        <w:rPr>
          <w:rFonts w:ascii="Bookman Old Style" w:hAnsi="Bookman Old Style" w:cs="Bookman Old Style"/>
          <w:i w:val="0"/>
          <w:iCs w:val="0"/>
          <w:sz w:val="20"/>
          <w:szCs w:val="20"/>
          <w:u w:val="none"/>
        </w:rPr>
        <w:t>forniscono ai Servizi e ai MMG/PLS, entro il 13/10/2015, le dosi di vaccino da questi richieste</w:t>
      </w:r>
      <w:r>
        <w:rPr>
          <w:rFonts w:ascii="Bookman Old Style" w:hAnsi="Bookman Old Style" w:cs="Bookman Old Style"/>
          <w:i w:val="0"/>
          <w:iCs w:val="0"/>
          <w:sz w:val="20"/>
          <w:szCs w:val="20"/>
          <w:u w:val="none"/>
        </w:rPr>
        <w:t>.</w:t>
      </w:r>
    </w:p>
    <w:p w:rsidR="00564975" w:rsidRDefault="00564975" w:rsidP="00560A8B">
      <w:pPr>
        <w:pStyle w:val="BodyText"/>
        <w:spacing w:before="0" w:line="360" w:lineRule="auto"/>
        <w:rPr>
          <w:rFonts w:ascii="Bookman Old Style" w:hAnsi="Bookman Old Style" w:cs="Bookman Old Style"/>
          <w:i w:val="0"/>
          <w:iCs w:val="0"/>
          <w:sz w:val="20"/>
          <w:szCs w:val="20"/>
          <w:u w:val="none"/>
        </w:rPr>
      </w:pPr>
      <w:r>
        <w:rPr>
          <w:rFonts w:ascii="Bookman Old Style" w:hAnsi="Bookman Old Style" w:cs="Bookman Old Style"/>
          <w:i w:val="0"/>
          <w:iCs w:val="0"/>
          <w:sz w:val="20"/>
          <w:szCs w:val="20"/>
          <w:u w:val="none"/>
        </w:rPr>
        <w:t>Ai fini dell’approvvigionamento del vaccino, la Aziende provvedono attraverso l’utilizzo dei quantitativi aggiudicati e degli incrementi di fornitura previsti dai contratti in essere e resi disponibili dalla ditta aggiudicataria. A partire dal 2016, e per tutti gli anni successivi, esse provvedono poi ad incorporare nei fabbisogni dichiarati nell’ambito delle periodiche procedure centralizzate di gara le necessità appositamente stimate e derivanti dall’implementazione della strategia vaccinale di cui al precedente punto 1.</w:t>
      </w:r>
    </w:p>
    <w:p w:rsidR="00564975" w:rsidRDefault="00564975" w:rsidP="000C11F7">
      <w:pPr>
        <w:pStyle w:val="BodyText"/>
        <w:spacing w:before="0" w:line="360" w:lineRule="auto"/>
        <w:rPr>
          <w:rFonts w:ascii="Bookman Old Style" w:hAnsi="Bookman Old Style" w:cs="Bookman Old Style"/>
          <w:i w:val="0"/>
          <w:iCs w:val="0"/>
          <w:sz w:val="20"/>
          <w:szCs w:val="20"/>
          <w:u w:val="none"/>
        </w:rPr>
      </w:pPr>
      <w:r>
        <w:rPr>
          <w:rFonts w:ascii="Bookman Old Style" w:hAnsi="Bookman Old Style" w:cs="Bookman Old Style"/>
          <w:i w:val="0"/>
          <w:iCs w:val="0"/>
          <w:sz w:val="20"/>
          <w:szCs w:val="20"/>
          <w:u w:val="none"/>
        </w:rPr>
        <w:t xml:space="preserve">Le Aziende provvedono a corrispondere ai MMG/PLS partecipanti al Programma la remunerazione prevista al successivo punto 5, a partire dal 2016 ed entro il 31 maggio di ogni anno, per le vaccinazioni erogate risultanti dal Sistema Informativo della Medicina di Base (SISMED) – Applicazione Cartella Clinica di cui al successivo punto 6. Per il primo anno, ed entro il 31/05/2016, verrà corrisposta la remunerazione per le vaccinazioni erogate dal 15/10/2015 al 31/03/2016; a partire dal 2017 verrà corrisposta la remunerazione per le vaccinazioni erogate dall’1 aprile dell’anno precedente al 31 marzo dell’anno di corresponsione.     </w:t>
      </w:r>
    </w:p>
    <w:p w:rsidR="00564975" w:rsidRDefault="00564975" w:rsidP="00560A8B">
      <w:pPr>
        <w:pStyle w:val="BodyText"/>
        <w:spacing w:before="0" w:line="360" w:lineRule="auto"/>
        <w:rPr>
          <w:rFonts w:ascii="Bookman Old Style" w:hAnsi="Bookman Old Style" w:cs="Bookman Old Style"/>
          <w:i w:val="0"/>
          <w:iCs w:val="0"/>
          <w:sz w:val="20"/>
          <w:szCs w:val="20"/>
          <w:u w:val="none"/>
        </w:rPr>
      </w:pPr>
      <w:r>
        <w:rPr>
          <w:rFonts w:ascii="Bookman Old Style" w:hAnsi="Bookman Old Style" w:cs="Bookman Old Style"/>
          <w:i w:val="0"/>
          <w:iCs w:val="0"/>
          <w:sz w:val="20"/>
          <w:szCs w:val="20"/>
          <w:u w:val="none"/>
        </w:rPr>
        <w:t>Le Aziende provvedono infine, a partire dal 2016 ed entro il 30 giugno di ogni anno, a predisporre una relazione contenente la descrizione analitica delle spese sostenute per il presente Programma dettagliata per singola voce di costo, da trasmettere alla Direzione Regionale Salute e Integrazione Sociosanitaria – Area Risorse Finanziarie, Analisi di Bilancio e Contabilità Analitica e Crediti Sanitari, onde consentire la predisposizione del provvedimento di attribuzione del finanziamento regionale previsto dal Decreto istitutivo del Programma. Per il primo anno, ed entro il 30/06/2016, dovrà essere trasmessa la relazione concernente le spese sostenute dal 15/10/2015 al 31/03/2016; a partire dal 2017 dovrà essere trasmessa la relazione concernente le spese sostenute dall’1 aprile dell’anno precedente al 31 marzo dell’anno di trasmissione.</w:t>
      </w:r>
    </w:p>
    <w:p w:rsidR="00564975" w:rsidRDefault="00564975" w:rsidP="00560A8B">
      <w:pPr>
        <w:pStyle w:val="BodyText"/>
        <w:spacing w:before="0" w:line="360" w:lineRule="auto"/>
        <w:rPr>
          <w:rFonts w:ascii="Bookman Old Style" w:hAnsi="Bookman Old Style" w:cs="Bookman Old Style"/>
          <w:i w:val="0"/>
          <w:iCs w:val="0"/>
          <w:sz w:val="20"/>
          <w:szCs w:val="20"/>
          <w:u w:val="none"/>
        </w:rPr>
      </w:pPr>
    </w:p>
    <w:p w:rsidR="00564975" w:rsidRDefault="00564975" w:rsidP="00566B22">
      <w:pPr>
        <w:pStyle w:val="BodyText3"/>
        <w:jc w:val="left"/>
        <w:rPr>
          <w:rFonts w:ascii="Bookman Old Style" w:hAnsi="Bookman Old Style" w:cs="Bookman Old Style"/>
          <w:sz w:val="20"/>
          <w:szCs w:val="20"/>
        </w:rPr>
      </w:pPr>
      <w:r>
        <w:rPr>
          <w:rFonts w:ascii="Bookman Old Style" w:hAnsi="Bookman Old Style" w:cs="Bookman Old Style"/>
          <w:sz w:val="20"/>
          <w:szCs w:val="20"/>
        </w:rPr>
        <w:t>4</w:t>
      </w:r>
      <w:r w:rsidRPr="004D12A1">
        <w:rPr>
          <w:rFonts w:ascii="Bookman Old Style" w:hAnsi="Bookman Old Style" w:cs="Bookman Old Style"/>
          <w:sz w:val="20"/>
          <w:szCs w:val="20"/>
        </w:rPr>
        <w:t xml:space="preserve">) </w:t>
      </w:r>
      <w:r>
        <w:rPr>
          <w:rFonts w:ascii="Bookman Old Style" w:hAnsi="Bookman Old Style" w:cs="Bookman Old Style"/>
          <w:sz w:val="20"/>
          <w:szCs w:val="20"/>
        </w:rPr>
        <w:t>Utilizzo del vaccino anti-pneumococcico coniugato PCV 13-valente</w:t>
      </w:r>
    </w:p>
    <w:p w:rsidR="00564975" w:rsidRPr="00566B22" w:rsidRDefault="00564975" w:rsidP="00726488">
      <w:pPr>
        <w:pStyle w:val="BodyText3"/>
        <w:spacing w:before="0"/>
        <w:jc w:val="left"/>
        <w:rPr>
          <w:rFonts w:ascii="Bookman Old Style" w:hAnsi="Bookman Old Style" w:cs="Bookman Old Style"/>
          <w:sz w:val="20"/>
          <w:szCs w:val="20"/>
        </w:rPr>
      </w:pPr>
    </w:p>
    <w:p w:rsidR="00564975" w:rsidRDefault="00564975" w:rsidP="00566B22">
      <w:pPr>
        <w:pStyle w:val="BodyText3"/>
        <w:spacing w:line="360" w:lineRule="auto"/>
        <w:jc w:val="both"/>
        <w:rPr>
          <w:rFonts w:ascii="Bookman Old Style" w:hAnsi="Bookman Old Style" w:cs="Bookman Old Style"/>
          <w:b w:val="0"/>
          <w:bCs w:val="0"/>
          <w:sz w:val="20"/>
          <w:szCs w:val="20"/>
        </w:rPr>
      </w:pPr>
      <w:r>
        <w:rPr>
          <w:rFonts w:ascii="Bookman Old Style" w:hAnsi="Bookman Old Style" w:cs="Bookman Old Style"/>
          <w:b w:val="0"/>
          <w:bCs w:val="0"/>
          <w:sz w:val="20"/>
          <w:szCs w:val="20"/>
        </w:rPr>
        <w:t xml:space="preserve">Per la somministrazione del vaccino anti-pneumococcico coniugato (PCV) 13-valente si raccomanda di rispettare scrupolosamente le modalità indicate nel Riassunto delle Caratteristiche del Prodotto (RCP) autorizzato dall’Agenzia Italiana per il Farmaco (AIFA), disponibile all’indirizzo </w:t>
      </w:r>
      <w:hyperlink r:id="rId10" w:history="1">
        <w:r w:rsidRPr="00B77977">
          <w:rPr>
            <w:rStyle w:val="Hyperlink"/>
            <w:rFonts w:ascii="Bookman Old Style" w:hAnsi="Bookman Old Style" w:cs="Bookman Old Style"/>
            <w:b w:val="0"/>
            <w:bCs w:val="0"/>
            <w:sz w:val="20"/>
            <w:szCs w:val="20"/>
          </w:rPr>
          <w:t>https://farmaci.agenziafarmaco.gov.it/aifa/servlet/PdfDownloadServlet?pdfFileName=footer_001533_039550_RCP.pdf&amp;retry=0&amp;sys=m0b1l3</w:t>
        </w:r>
      </w:hyperlink>
      <w:r>
        <w:rPr>
          <w:rFonts w:ascii="Bookman Old Style" w:hAnsi="Bookman Old Style" w:cs="Bookman Old Style"/>
          <w:b w:val="0"/>
          <w:bCs w:val="0"/>
          <w:sz w:val="20"/>
          <w:szCs w:val="20"/>
        </w:rPr>
        <w:t>.</w:t>
      </w:r>
    </w:p>
    <w:p w:rsidR="00564975" w:rsidRDefault="00564975" w:rsidP="00566B22">
      <w:pPr>
        <w:pStyle w:val="BodyText3"/>
        <w:spacing w:before="0" w:line="360" w:lineRule="auto"/>
        <w:jc w:val="both"/>
        <w:rPr>
          <w:rFonts w:ascii="Bookman Old Style" w:hAnsi="Bookman Old Style" w:cs="Bookman Old Style"/>
          <w:b w:val="0"/>
          <w:bCs w:val="0"/>
          <w:sz w:val="20"/>
          <w:szCs w:val="20"/>
        </w:rPr>
      </w:pPr>
      <w:r w:rsidRPr="00807BCD">
        <w:rPr>
          <w:rFonts w:ascii="Bookman Old Style" w:hAnsi="Bookman Old Style" w:cs="Bookman Old Style"/>
          <w:b w:val="0"/>
          <w:bCs w:val="0"/>
          <w:sz w:val="20"/>
          <w:szCs w:val="20"/>
        </w:rPr>
        <w:t>Prima di effettuare la vaccinazione, il medico vaccinatore informa l’assistito sulla non obbligatorietà della vaccinazione, sul tipo di vaccino che verrà somministrato, sui benefici e i rischi connessi alla vaccinazione, anche in relazione alle condizioni di salute del singolo soggetto</w:t>
      </w:r>
      <w:r>
        <w:rPr>
          <w:rFonts w:ascii="Bookman Old Style" w:hAnsi="Bookman Old Style" w:cs="Bookman Old Style"/>
          <w:b w:val="0"/>
          <w:bCs w:val="0"/>
          <w:sz w:val="20"/>
          <w:szCs w:val="20"/>
        </w:rPr>
        <w:t>.</w:t>
      </w:r>
    </w:p>
    <w:p w:rsidR="00564975" w:rsidRPr="00116B7B" w:rsidRDefault="00564975" w:rsidP="00116B7B">
      <w:pPr>
        <w:autoSpaceDE w:val="0"/>
        <w:autoSpaceDN w:val="0"/>
        <w:adjustRightInd w:val="0"/>
        <w:spacing w:line="360" w:lineRule="auto"/>
        <w:jc w:val="both"/>
        <w:rPr>
          <w:rFonts w:ascii="Bookman Old Style" w:hAnsi="Bookman Old Style" w:cs="Bookman Old Style"/>
          <w:sz w:val="20"/>
          <w:szCs w:val="20"/>
        </w:rPr>
      </w:pPr>
      <w:r w:rsidRPr="00116B7B">
        <w:rPr>
          <w:rFonts w:ascii="Bookman Old Style" w:eastAsia="HelveticaNeueLTStd-LtCn" w:hAnsi="Bookman Old Style" w:cs="Bookman Old Style"/>
          <w:color w:val="231F20"/>
          <w:sz w:val="20"/>
          <w:szCs w:val="20"/>
          <w:lang w:eastAsia="en-US"/>
        </w:rPr>
        <w:t>Il vaccino deve essere somministrato per iniezione intramuscolare. I siti preferiti sono la superficie</w:t>
      </w:r>
      <w:r>
        <w:rPr>
          <w:rFonts w:ascii="Bookman Old Style" w:eastAsia="HelveticaNeueLTStd-LtCn" w:hAnsi="Bookman Old Style" w:cs="Bookman Old Style"/>
          <w:color w:val="231F20"/>
          <w:sz w:val="20"/>
          <w:szCs w:val="20"/>
          <w:lang w:eastAsia="en-US"/>
        </w:rPr>
        <w:t xml:space="preserve"> </w:t>
      </w:r>
      <w:r w:rsidRPr="00116B7B">
        <w:rPr>
          <w:rFonts w:ascii="Bookman Old Style" w:eastAsia="HelveticaNeueLTStd-LtCn" w:hAnsi="Bookman Old Style" w:cs="Bookman Old Style"/>
          <w:color w:val="231F20"/>
          <w:sz w:val="20"/>
          <w:szCs w:val="20"/>
          <w:lang w:eastAsia="en-US"/>
        </w:rPr>
        <w:t>anterolaterale della coscia (muscolo vasto laterale) nei neonati</w:t>
      </w:r>
      <w:r>
        <w:rPr>
          <w:rFonts w:ascii="Bookman Old Style" w:eastAsia="HelveticaNeueLTStd-LtCn" w:hAnsi="Bookman Old Style" w:cs="Bookman Old Style"/>
          <w:color w:val="231F20"/>
          <w:sz w:val="20"/>
          <w:szCs w:val="20"/>
          <w:lang w:eastAsia="en-US"/>
        </w:rPr>
        <w:t xml:space="preserve"> (non inclusi nel presente Programma)</w:t>
      </w:r>
      <w:r w:rsidRPr="00116B7B">
        <w:rPr>
          <w:rFonts w:ascii="Bookman Old Style" w:eastAsia="HelveticaNeueLTStd-LtCn" w:hAnsi="Bookman Old Style" w:cs="Bookman Old Style"/>
          <w:color w:val="231F20"/>
          <w:sz w:val="20"/>
          <w:szCs w:val="20"/>
          <w:lang w:eastAsia="en-US"/>
        </w:rPr>
        <w:t>, oppure il muscolo</w:t>
      </w:r>
      <w:r>
        <w:rPr>
          <w:rFonts w:ascii="Bookman Old Style" w:eastAsia="HelveticaNeueLTStd-LtCn" w:hAnsi="Bookman Old Style" w:cs="Bookman Old Style"/>
          <w:color w:val="231F20"/>
          <w:sz w:val="20"/>
          <w:szCs w:val="20"/>
          <w:lang w:eastAsia="en-US"/>
        </w:rPr>
        <w:t xml:space="preserve"> </w:t>
      </w:r>
      <w:r w:rsidRPr="00116B7B">
        <w:rPr>
          <w:rFonts w:ascii="Bookman Old Style" w:eastAsia="HelveticaNeueLTStd-LtCn" w:hAnsi="Bookman Old Style" w:cs="Bookman Old Style"/>
          <w:color w:val="231F20"/>
          <w:sz w:val="20"/>
          <w:szCs w:val="20"/>
          <w:lang w:eastAsia="en-US"/>
        </w:rPr>
        <w:t>deltoide del braccio nei bambini e negli adulti.</w:t>
      </w:r>
    </w:p>
    <w:p w:rsidR="00564975" w:rsidRPr="000422FF" w:rsidRDefault="00564975" w:rsidP="00566B22">
      <w:pPr>
        <w:pStyle w:val="BodyText3"/>
        <w:spacing w:before="0" w:line="360" w:lineRule="auto"/>
        <w:jc w:val="both"/>
        <w:rPr>
          <w:rFonts w:ascii="Bookman Old Style" w:hAnsi="Bookman Old Style" w:cs="Bookman Old Style"/>
          <w:sz w:val="20"/>
          <w:szCs w:val="20"/>
        </w:rPr>
      </w:pPr>
      <w:r w:rsidRPr="000422FF">
        <w:rPr>
          <w:rFonts w:ascii="Bookman Old Style" w:hAnsi="Bookman Old Style" w:cs="Bookman Old Style"/>
          <w:sz w:val="20"/>
          <w:szCs w:val="20"/>
        </w:rPr>
        <w:t xml:space="preserve">Una sola dose di vaccino coniugato 13-valente è sufficiente, per la vita, per tutte le categorie bersaglio individuate al precedente punto 1, eccezion fatta per i soggetti a rischio di età compresa tra </w:t>
      </w:r>
      <w:r>
        <w:rPr>
          <w:rFonts w:ascii="Bookman Old Style" w:hAnsi="Bookman Old Style" w:cs="Bookman Old Style"/>
          <w:sz w:val="20"/>
          <w:szCs w:val="20"/>
        </w:rPr>
        <w:t>≥</w:t>
      </w:r>
      <w:r w:rsidRPr="000422FF">
        <w:rPr>
          <w:rFonts w:ascii="Bookman Old Style" w:hAnsi="Bookman Old Style" w:cs="Bookman Old Style"/>
          <w:sz w:val="20"/>
          <w:szCs w:val="20"/>
        </w:rPr>
        <w:t xml:space="preserve"> 2 anni e &lt; 6 anni, per i quali si raccomanda la somministrazione di una seconda dose di vaccino coniugato 13-valente a distanza di 2 mesi dalla prima.</w:t>
      </w:r>
    </w:p>
    <w:p w:rsidR="00564975" w:rsidRPr="000422FF" w:rsidRDefault="00564975" w:rsidP="00566B22">
      <w:pPr>
        <w:pStyle w:val="BodyText3"/>
        <w:spacing w:before="0" w:line="360" w:lineRule="auto"/>
        <w:jc w:val="both"/>
        <w:rPr>
          <w:rFonts w:ascii="Bookman Old Style" w:hAnsi="Bookman Old Style" w:cs="Bookman Old Style"/>
          <w:sz w:val="20"/>
          <w:szCs w:val="20"/>
          <w:u w:val="single"/>
        </w:rPr>
      </w:pPr>
      <w:r w:rsidRPr="000422FF">
        <w:rPr>
          <w:rFonts w:ascii="Bookman Old Style" w:hAnsi="Bookman Old Style" w:cs="Bookman Old Style"/>
          <w:sz w:val="20"/>
          <w:szCs w:val="20"/>
          <w:u w:val="single"/>
        </w:rPr>
        <w:t xml:space="preserve">Per quanto sopra esposto si raccomanda di effettuare una rigorosa anamnesi pre-vaccinale, finalizzata ad individuare lo stato del soggetto rispetto alla vaccinazione con vaccino coniugato 13-valente, onde evitarne la rivaccinazione e consentire il catch-up dei soggetti sfuggiti all’intervento nell’anno dedicato. </w:t>
      </w:r>
    </w:p>
    <w:p w:rsidR="00564975" w:rsidRDefault="00564975" w:rsidP="00566B22">
      <w:pPr>
        <w:pStyle w:val="BodyText3"/>
        <w:spacing w:before="0" w:line="360" w:lineRule="auto"/>
        <w:jc w:val="both"/>
        <w:rPr>
          <w:rFonts w:ascii="Bookman Old Style" w:hAnsi="Bookman Old Style" w:cs="Bookman Old Style"/>
          <w:b w:val="0"/>
          <w:bCs w:val="0"/>
          <w:sz w:val="20"/>
          <w:szCs w:val="20"/>
        </w:rPr>
      </w:pPr>
      <w:r>
        <w:rPr>
          <w:rFonts w:ascii="Bookman Old Style" w:hAnsi="Bookman Old Style" w:cs="Bookman Old Style"/>
          <w:b w:val="0"/>
          <w:bCs w:val="0"/>
          <w:sz w:val="20"/>
          <w:szCs w:val="20"/>
        </w:rPr>
        <w:t>Per i soggetti eventualmente vaccinati in precedenza con una o più dosi di vaccino anti-pneumococcico polisaccaridico (PPV) 23-valente, è possibile somministrare una dose di vaccino coniugato 13-valente a distanza di almeno un anno dall’ultima dose di vaccino polisaccaridico.</w:t>
      </w:r>
    </w:p>
    <w:p w:rsidR="00564975" w:rsidRDefault="00564975" w:rsidP="00566B22">
      <w:pPr>
        <w:pStyle w:val="BodyText3"/>
        <w:spacing w:before="0" w:line="360" w:lineRule="auto"/>
        <w:jc w:val="both"/>
        <w:rPr>
          <w:rFonts w:ascii="Bookman Old Style" w:hAnsi="Bookman Old Style" w:cs="Bookman Old Style"/>
          <w:sz w:val="20"/>
          <w:szCs w:val="20"/>
        </w:rPr>
      </w:pPr>
      <w:r w:rsidRPr="008339CB">
        <w:rPr>
          <w:rFonts w:ascii="Bookman Old Style" w:hAnsi="Bookman Old Style" w:cs="Bookman Old Style"/>
          <w:sz w:val="20"/>
          <w:szCs w:val="20"/>
        </w:rPr>
        <w:t>Il vaccino coniugato 13-valente può essere co-somministrato con il vaccino stagionale</w:t>
      </w:r>
      <w:r>
        <w:rPr>
          <w:rFonts w:ascii="Bookman Old Style" w:hAnsi="Bookman Old Style" w:cs="Bookman Old Style"/>
          <w:sz w:val="20"/>
          <w:szCs w:val="20"/>
        </w:rPr>
        <w:t xml:space="preserve"> </w:t>
      </w:r>
      <w:r w:rsidRPr="008339CB">
        <w:rPr>
          <w:rFonts w:ascii="Bookman Old Style" w:hAnsi="Bookman Old Style" w:cs="Bookman Old Style"/>
          <w:sz w:val="20"/>
          <w:szCs w:val="20"/>
        </w:rPr>
        <w:t>dell’influenza</w:t>
      </w:r>
      <w:r>
        <w:rPr>
          <w:rFonts w:ascii="Bookman Old Style" w:hAnsi="Bookman Old Style" w:cs="Bookman Old Style"/>
          <w:sz w:val="20"/>
          <w:szCs w:val="20"/>
        </w:rPr>
        <w:t>, in sedi corporee differenti e con siringhe diverse</w:t>
      </w:r>
      <w:r w:rsidRPr="008339CB">
        <w:rPr>
          <w:rFonts w:ascii="Bookman Old Style" w:hAnsi="Bookman Old Style" w:cs="Bookman Old Style"/>
          <w:sz w:val="20"/>
          <w:szCs w:val="20"/>
        </w:rPr>
        <w:t>. Si raccomanda l’utilizzazione della campagna di vaccinazione antinfluenzale quale occasione opportuna di immunizzazione anche contro lo pneumococco.</w:t>
      </w:r>
    </w:p>
    <w:p w:rsidR="00564975" w:rsidRPr="00E76587" w:rsidRDefault="00564975" w:rsidP="00E76587">
      <w:pPr>
        <w:spacing w:line="360" w:lineRule="auto"/>
        <w:jc w:val="both"/>
        <w:rPr>
          <w:rFonts w:ascii="Bookman Old Style" w:hAnsi="Bookman Old Style" w:cs="Bookman Old Style"/>
          <w:b/>
          <w:bCs/>
          <w:sz w:val="20"/>
          <w:szCs w:val="20"/>
        </w:rPr>
      </w:pPr>
      <w:r w:rsidRPr="00E76587">
        <w:rPr>
          <w:rFonts w:ascii="Bookman Old Style" w:hAnsi="Bookman Old Style" w:cs="Bookman Old Style"/>
          <w:sz w:val="20"/>
          <w:szCs w:val="20"/>
        </w:rPr>
        <w:t>Tutte le sospette reazioni avverse osservate devono essere segnalate inviando tempestivamente la</w:t>
      </w:r>
      <w:r>
        <w:rPr>
          <w:rFonts w:ascii="Bookman Old Style" w:hAnsi="Bookman Old Style" w:cs="Bookman Old Style"/>
          <w:sz w:val="20"/>
          <w:szCs w:val="20"/>
        </w:rPr>
        <w:t xml:space="preserve"> </w:t>
      </w:r>
      <w:r w:rsidRPr="00E76587">
        <w:rPr>
          <w:rFonts w:ascii="Bookman Old Style" w:hAnsi="Bookman Old Style" w:cs="Bookman Old Style"/>
          <w:sz w:val="20"/>
          <w:szCs w:val="20"/>
        </w:rPr>
        <w:t xml:space="preserve">scheda di segnalazione di sospetta reazione avversa </w:t>
      </w:r>
      <w:r>
        <w:rPr>
          <w:rFonts w:ascii="Bookman Old Style" w:hAnsi="Bookman Old Style" w:cs="Bookman Old Style"/>
          <w:sz w:val="20"/>
          <w:szCs w:val="20"/>
        </w:rPr>
        <w:t>a</w:t>
      </w:r>
      <w:r w:rsidRPr="00E76587">
        <w:rPr>
          <w:rFonts w:ascii="Bookman Old Style" w:hAnsi="Bookman Old Style" w:cs="Bookman Old Style"/>
          <w:sz w:val="20"/>
          <w:szCs w:val="20"/>
        </w:rPr>
        <w:t xml:space="preserve">l Responsabile della Farmacovigilanza dell’Azienda Sanitaria Locale competente per territorio. </w:t>
      </w:r>
      <w:r>
        <w:rPr>
          <w:rFonts w:ascii="Bookman Old Style" w:hAnsi="Bookman Old Style" w:cs="Bookman Old Style"/>
          <w:sz w:val="20"/>
          <w:szCs w:val="20"/>
        </w:rPr>
        <w:t xml:space="preserve">La scheda, la guida alla sua compilazione e l’elenco di tutti i Responsabili di farmacovigilanza sono disponibili all’indirizzo </w:t>
      </w:r>
      <w:hyperlink r:id="rId11" w:history="1">
        <w:r w:rsidRPr="00B77977">
          <w:rPr>
            <w:rStyle w:val="Hyperlink"/>
            <w:rFonts w:ascii="Bookman Old Style" w:hAnsi="Bookman Old Style" w:cs="Bookman Old Style"/>
            <w:sz w:val="20"/>
            <w:szCs w:val="20"/>
          </w:rPr>
          <w:t>http://www.agenziafarmaco.gov.it/it/content/modalit%C3%A0-di-segnalazione-delle-sospette-reazioni-avverse-ai-medicinali</w:t>
        </w:r>
      </w:hyperlink>
      <w:r>
        <w:rPr>
          <w:rFonts w:ascii="Bookman Old Style" w:hAnsi="Bookman Old Style" w:cs="Bookman Old Style"/>
          <w:sz w:val="20"/>
          <w:szCs w:val="20"/>
        </w:rPr>
        <w:t xml:space="preserve">. </w:t>
      </w:r>
    </w:p>
    <w:p w:rsidR="00564975" w:rsidRDefault="00564975" w:rsidP="008339CB">
      <w:pPr>
        <w:pStyle w:val="BodyText3"/>
        <w:jc w:val="left"/>
        <w:rPr>
          <w:rFonts w:ascii="Bookman Old Style" w:hAnsi="Bookman Old Style" w:cs="Bookman Old Style"/>
          <w:sz w:val="20"/>
          <w:szCs w:val="20"/>
        </w:rPr>
      </w:pPr>
    </w:p>
    <w:p w:rsidR="00564975" w:rsidRDefault="00564975" w:rsidP="008339CB">
      <w:pPr>
        <w:pStyle w:val="BodyText3"/>
        <w:jc w:val="left"/>
        <w:rPr>
          <w:rFonts w:ascii="Bookman Old Style" w:hAnsi="Bookman Old Style" w:cs="Bookman Old Style"/>
          <w:sz w:val="20"/>
          <w:szCs w:val="20"/>
        </w:rPr>
      </w:pPr>
      <w:r>
        <w:rPr>
          <w:rFonts w:ascii="Bookman Old Style" w:hAnsi="Bookman Old Style" w:cs="Bookman Old Style"/>
          <w:sz w:val="20"/>
          <w:szCs w:val="20"/>
        </w:rPr>
        <w:t>5</w:t>
      </w:r>
      <w:r w:rsidRPr="004D12A1">
        <w:rPr>
          <w:rFonts w:ascii="Bookman Old Style" w:hAnsi="Bookman Old Style" w:cs="Bookman Old Style"/>
          <w:sz w:val="20"/>
          <w:szCs w:val="20"/>
        </w:rPr>
        <w:t xml:space="preserve">) </w:t>
      </w:r>
      <w:r>
        <w:rPr>
          <w:rFonts w:ascii="Bookman Old Style" w:hAnsi="Bookman Old Style" w:cs="Bookman Old Style"/>
          <w:sz w:val="20"/>
          <w:szCs w:val="20"/>
        </w:rPr>
        <w:t>Partecipazione dei Medici di Medicina Generale e dei Pediatri di Libera Scelta e relativo</w:t>
      </w:r>
    </w:p>
    <w:p w:rsidR="00564975" w:rsidRDefault="00564975" w:rsidP="003B18C0">
      <w:pPr>
        <w:pStyle w:val="BodyText3"/>
        <w:spacing w:before="0"/>
        <w:jc w:val="left"/>
        <w:rPr>
          <w:rFonts w:ascii="Bookman Old Style" w:hAnsi="Bookman Old Style" w:cs="Bookman Old Style"/>
          <w:sz w:val="20"/>
          <w:szCs w:val="20"/>
        </w:rPr>
      </w:pPr>
      <w:r>
        <w:rPr>
          <w:rFonts w:ascii="Bookman Old Style" w:hAnsi="Bookman Old Style" w:cs="Bookman Old Style"/>
          <w:sz w:val="20"/>
          <w:szCs w:val="20"/>
        </w:rPr>
        <w:t xml:space="preserve">    profilo di remunerazione</w:t>
      </w:r>
    </w:p>
    <w:p w:rsidR="00564975" w:rsidRDefault="00564975" w:rsidP="003B18C0">
      <w:pPr>
        <w:pStyle w:val="BodyText3"/>
        <w:spacing w:before="0"/>
        <w:jc w:val="left"/>
        <w:rPr>
          <w:rFonts w:ascii="Bookman Old Style" w:hAnsi="Bookman Old Style" w:cs="Bookman Old Style"/>
          <w:sz w:val="20"/>
          <w:szCs w:val="20"/>
        </w:rPr>
      </w:pPr>
    </w:p>
    <w:p w:rsidR="00564975" w:rsidRPr="00DD4671" w:rsidRDefault="00564975" w:rsidP="001A6BE2">
      <w:pPr>
        <w:pStyle w:val="BodyText"/>
        <w:spacing w:before="120" w:line="360" w:lineRule="auto"/>
        <w:rPr>
          <w:rFonts w:ascii="Bookman Old Style" w:hAnsi="Bookman Old Style" w:cs="Bookman Old Style"/>
          <w:i w:val="0"/>
          <w:iCs w:val="0"/>
          <w:sz w:val="20"/>
          <w:szCs w:val="20"/>
          <w:u w:val="none"/>
        </w:rPr>
      </w:pPr>
      <w:r>
        <w:rPr>
          <w:rFonts w:ascii="Bookman Old Style" w:hAnsi="Bookman Old Style" w:cs="Bookman Old Style"/>
          <w:i w:val="0"/>
          <w:iCs w:val="0"/>
          <w:sz w:val="20"/>
          <w:szCs w:val="20"/>
          <w:u w:val="none"/>
        </w:rPr>
        <w:t xml:space="preserve">I </w:t>
      </w:r>
      <w:r w:rsidRPr="00DD4671">
        <w:rPr>
          <w:rFonts w:ascii="Bookman Old Style" w:hAnsi="Bookman Old Style" w:cs="Bookman Old Style"/>
          <w:i w:val="0"/>
          <w:iCs w:val="0"/>
          <w:sz w:val="20"/>
          <w:szCs w:val="20"/>
          <w:u w:val="none"/>
        </w:rPr>
        <w:t>Medici di Medicina Generale</w:t>
      </w:r>
      <w:r>
        <w:rPr>
          <w:rFonts w:ascii="Bookman Old Style" w:hAnsi="Bookman Old Style" w:cs="Bookman Old Style"/>
          <w:i w:val="0"/>
          <w:iCs w:val="0"/>
          <w:sz w:val="20"/>
          <w:szCs w:val="20"/>
          <w:u w:val="none"/>
        </w:rPr>
        <w:t xml:space="preserve"> e i Pediatri di Libera Scelta</w:t>
      </w:r>
      <w:r w:rsidRPr="00DD4671">
        <w:rPr>
          <w:rFonts w:ascii="Bookman Old Style" w:hAnsi="Bookman Old Style" w:cs="Bookman Old Style"/>
          <w:i w:val="0"/>
          <w:iCs w:val="0"/>
          <w:sz w:val="20"/>
          <w:szCs w:val="20"/>
          <w:u w:val="none"/>
        </w:rPr>
        <w:t xml:space="preserve"> contribuiscono al conseguimento degli obiettivi </w:t>
      </w:r>
      <w:r>
        <w:rPr>
          <w:rFonts w:ascii="Bookman Old Style" w:hAnsi="Bookman Old Style" w:cs="Bookman Old Style"/>
          <w:i w:val="0"/>
          <w:iCs w:val="0"/>
          <w:sz w:val="20"/>
          <w:szCs w:val="20"/>
          <w:u w:val="none"/>
        </w:rPr>
        <w:t>di copertura r</w:t>
      </w:r>
      <w:r w:rsidRPr="00DD4671">
        <w:rPr>
          <w:rFonts w:ascii="Bookman Old Style" w:hAnsi="Bookman Old Style" w:cs="Bookman Old Style"/>
          <w:i w:val="0"/>
          <w:iCs w:val="0"/>
          <w:sz w:val="20"/>
          <w:szCs w:val="20"/>
          <w:u w:val="none"/>
        </w:rPr>
        <w:t>elativi al</w:t>
      </w:r>
      <w:r>
        <w:rPr>
          <w:rFonts w:ascii="Bookman Old Style" w:hAnsi="Bookman Old Style" w:cs="Bookman Old Style"/>
          <w:i w:val="0"/>
          <w:iCs w:val="0"/>
          <w:sz w:val="20"/>
          <w:szCs w:val="20"/>
          <w:u w:val="none"/>
        </w:rPr>
        <w:t xml:space="preserve"> presente Programma</w:t>
      </w:r>
      <w:r w:rsidRPr="00DD4671">
        <w:rPr>
          <w:rFonts w:ascii="Bookman Old Style" w:hAnsi="Bookman Old Style" w:cs="Bookman Old Style"/>
          <w:i w:val="0"/>
          <w:iCs w:val="0"/>
          <w:sz w:val="20"/>
          <w:szCs w:val="20"/>
          <w:u w:val="none"/>
        </w:rPr>
        <w:t xml:space="preserve">, </w:t>
      </w:r>
      <w:r>
        <w:rPr>
          <w:rFonts w:ascii="Bookman Old Style" w:hAnsi="Bookman Old Style" w:cs="Bookman Old Style"/>
          <w:i w:val="0"/>
          <w:iCs w:val="0"/>
          <w:sz w:val="20"/>
          <w:szCs w:val="20"/>
          <w:u w:val="none"/>
        </w:rPr>
        <w:t xml:space="preserve">di cui al precedente punto 2, </w:t>
      </w:r>
      <w:r w:rsidRPr="00DD4671">
        <w:rPr>
          <w:rFonts w:ascii="Bookman Old Style" w:hAnsi="Bookman Old Style" w:cs="Bookman Old Style"/>
          <w:i w:val="0"/>
          <w:iCs w:val="0"/>
          <w:sz w:val="20"/>
          <w:szCs w:val="20"/>
          <w:u w:val="none"/>
        </w:rPr>
        <w:t>conformandosi a quanto previsto dal provvedimento regionale istitu</w:t>
      </w:r>
      <w:r>
        <w:rPr>
          <w:rFonts w:ascii="Bookman Old Style" w:hAnsi="Bookman Old Style" w:cs="Bookman Old Style"/>
          <w:i w:val="0"/>
          <w:iCs w:val="0"/>
          <w:sz w:val="20"/>
          <w:szCs w:val="20"/>
          <w:u w:val="none"/>
        </w:rPr>
        <w:t>t</w:t>
      </w:r>
      <w:r w:rsidRPr="00DD4671">
        <w:rPr>
          <w:rFonts w:ascii="Bookman Old Style" w:hAnsi="Bookman Old Style" w:cs="Bookman Old Style"/>
          <w:i w:val="0"/>
          <w:iCs w:val="0"/>
          <w:sz w:val="20"/>
          <w:szCs w:val="20"/>
          <w:u w:val="none"/>
        </w:rPr>
        <w:t xml:space="preserve">ivo </w:t>
      </w:r>
      <w:r>
        <w:rPr>
          <w:rFonts w:ascii="Bookman Old Style" w:hAnsi="Bookman Old Style" w:cs="Bookman Old Style"/>
          <w:i w:val="0"/>
          <w:iCs w:val="0"/>
          <w:sz w:val="20"/>
          <w:szCs w:val="20"/>
          <w:u w:val="none"/>
        </w:rPr>
        <w:t>e dalla presente Nota operativa</w:t>
      </w:r>
      <w:r w:rsidRPr="00DD4671">
        <w:rPr>
          <w:rFonts w:ascii="Bookman Old Style" w:hAnsi="Bookman Old Style" w:cs="Bookman Old Style"/>
          <w:i w:val="0"/>
          <w:iCs w:val="0"/>
          <w:sz w:val="20"/>
          <w:szCs w:val="20"/>
          <w:u w:val="none"/>
        </w:rPr>
        <w:t>.</w:t>
      </w:r>
    </w:p>
    <w:p w:rsidR="00564975" w:rsidRPr="00DD4671" w:rsidRDefault="00564975" w:rsidP="00DD4671">
      <w:pPr>
        <w:pStyle w:val="BodyText"/>
        <w:spacing w:before="0" w:line="360" w:lineRule="auto"/>
        <w:rPr>
          <w:rFonts w:ascii="Bookman Old Style" w:hAnsi="Bookman Old Style" w:cs="Bookman Old Style"/>
          <w:i w:val="0"/>
          <w:iCs w:val="0"/>
          <w:sz w:val="20"/>
          <w:szCs w:val="20"/>
          <w:u w:val="none"/>
        </w:rPr>
      </w:pPr>
      <w:r w:rsidRPr="00DD4671">
        <w:rPr>
          <w:rFonts w:ascii="Bookman Old Style" w:hAnsi="Bookman Old Style" w:cs="Bookman Old Style"/>
          <w:i w:val="0"/>
          <w:iCs w:val="0"/>
          <w:sz w:val="20"/>
          <w:szCs w:val="20"/>
          <w:u w:val="none"/>
        </w:rPr>
        <w:t xml:space="preserve">Il MMG/PLS </w:t>
      </w:r>
      <w:r>
        <w:rPr>
          <w:rFonts w:ascii="Bookman Old Style" w:hAnsi="Bookman Old Style" w:cs="Bookman Old Style"/>
          <w:i w:val="0"/>
          <w:iCs w:val="0"/>
          <w:sz w:val="20"/>
          <w:szCs w:val="20"/>
          <w:u w:val="none"/>
        </w:rPr>
        <w:t xml:space="preserve">invia, entro il 08/10/2015, l’Allegato 1 debitamente compilato </w:t>
      </w:r>
      <w:r w:rsidRPr="00DD4671">
        <w:rPr>
          <w:rFonts w:ascii="Bookman Old Style" w:hAnsi="Bookman Old Style" w:cs="Bookman Old Style"/>
          <w:i w:val="0"/>
          <w:iCs w:val="0"/>
          <w:sz w:val="20"/>
          <w:szCs w:val="20"/>
          <w:u w:val="none"/>
        </w:rPr>
        <w:t xml:space="preserve">al Distretto della propria Azienda USL di appartenenza, </w:t>
      </w:r>
      <w:r>
        <w:rPr>
          <w:rFonts w:ascii="Bookman Old Style" w:hAnsi="Bookman Old Style" w:cs="Bookman Old Style"/>
          <w:i w:val="0"/>
          <w:iCs w:val="0"/>
          <w:sz w:val="20"/>
          <w:szCs w:val="20"/>
          <w:u w:val="none"/>
        </w:rPr>
        <w:t xml:space="preserve">dichiarando </w:t>
      </w:r>
      <w:r w:rsidRPr="00DD4671">
        <w:rPr>
          <w:rFonts w:ascii="Bookman Old Style" w:hAnsi="Bookman Old Style" w:cs="Bookman Old Style"/>
          <w:i w:val="0"/>
          <w:iCs w:val="0"/>
          <w:sz w:val="20"/>
          <w:szCs w:val="20"/>
          <w:u w:val="none"/>
        </w:rPr>
        <w:t xml:space="preserve">la stima del numero di dosi di vaccino di cui chiede </w:t>
      </w:r>
      <w:r>
        <w:rPr>
          <w:rFonts w:ascii="Bookman Old Style" w:hAnsi="Bookman Old Style" w:cs="Bookman Old Style"/>
          <w:i w:val="0"/>
          <w:iCs w:val="0"/>
          <w:sz w:val="20"/>
          <w:szCs w:val="20"/>
          <w:u w:val="none"/>
        </w:rPr>
        <w:t>di essere approvvigionato; i</w:t>
      </w:r>
      <w:r w:rsidRPr="00DD4671">
        <w:rPr>
          <w:rFonts w:ascii="Bookman Old Style" w:hAnsi="Bookman Old Style" w:cs="Bookman Old Style"/>
          <w:i w:val="0"/>
          <w:iCs w:val="0"/>
          <w:sz w:val="20"/>
          <w:szCs w:val="20"/>
          <w:u w:val="none"/>
        </w:rPr>
        <w:t xml:space="preserve">n caso il MMG/PLS non avesse la possibilità di custodire l’intero ammontare di dosi di cui stima di aver bisogno, è possibile prevedere un rifornimento scaglionato, da concordare con </w:t>
      </w:r>
      <w:r>
        <w:rPr>
          <w:rFonts w:ascii="Bookman Old Style" w:hAnsi="Bookman Old Style" w:cs="Bookman Old Style"/>
          <w:i w:val="0"/>
          <w:iCs w:val="0"/>
          <w:sz w:val="20"/>
          <w:szCs w:val="20"/>
          <w:u w:val="none"/>
        </w:rPr>
        <w:t>l’Azienda di appartenenza</w:t>
      </w:r>
      <w:r w:rsidRPr="00DD4671">
        <w:rPr>
          <w:rFonts w:ascii="Bookman Old Style" w:hAnsi="Bookman Old Style" w:cs="Bookman Old Style"/>
          <w:i w:val="0"/>
          <w:iCs w:val="0"/>
          <w:sz w:val="20"/>
          <w:szCs w:val="20"/>
          <w:u w:val="none"/>
        </w:rPr>
        <w:t>.</w:t>
      </w:r>
    </w:p>
    <w:p w:rsidR="00564975" w:rsidRDefault="00564975" w:rsidP="00DD4671">
      <w:pPr>
        <w:pStyle w:val="BodyText3"/>
        <w:spacing w:before="0" w:line="360" w:lineRule="auto"/>
        <w:jc w:val="both"/>
        <w:rPr>
          <w:rFonts w:ascii="Bookman Old Style" w:hAnsi="Bookman Old Style" w:cs="Bookman Old Style"/>
          <w:b w:val="0"/>
          <w:bCs w:val="0"/>
          <w:sz w:val="20"/>
          <w:szCs w:val="20"/>
        </w:rPr>
      </w:pPr>
      <w:r w:rsidRPr="00A6091A">
        <w:rPr>
          <w:rFonts w:ascii="Bookman Old Style" w:hAnsi="Bookman Old Style" w:cs="Bookman Old Style"/>
          <w:b w:val="0"/>
          <w:bCs w:val="0"/>
          <w:sz w:val="20"/>
          <w:szCs w:val="20"/>
        </w:rPr>
        <w:t>I MMG e i PLS sono tenuti all’u</w:t>
      </w:r>
      <w:r>
        <w:rPr>
          <w:rFonts w:ascii="Bookman Old Style" w:hAnsi="Bookman Old Style" w:cs="Bookman Old Style"/>
          <w:b w:val="0"/>
          <w:bCs w:val="0"/>
          <w:sz w:val="20"/>
          <w:szCs w:val="20"/>
        </w:rPr>
        <w:t>tilizzo</w:t>
      </w:r>
      <w:r w:rsidRPr="00A6091A">
        <w:rPr>
          <w:rFonts w:ascii="Bookman Old Style" w:hAnsi="Bookman Old Style" w:cs="Bookman Old Style"/>
          <w:b w:val="0"/>
          <w:bCs w:val="0"/>
          <w:sz w:val="20"/>
          <w:szCs w:val="20"/>
        </w:rPr>
        <w:t xml:space="preserve"> del Sistema Informativo della Medicina di Base (SISMED) – Applicazione Cartella Clinica di cui al successivo punto 6</w:t>
      </w:r>
      <w:r>
        <w:rPr>
          <w:rFonts w:ascii="Bookman Old Style" w:hAnsi="Bookman Old Style" w:cs="Bookman Old Style"/>
          <w:b w:val="0"/>
          <w:bCs w:val="0"/>
          <w:sz w:val="20"/>
          <w:szCs w:val="20"/>
        </w:rPr>
        <w:t>, p</w:t>
      </w:r>
      <w:r w:rsidRPr="00A6091A">
        <w:rPr>
          <w:rFonts w:ascii="Bookman Old Style" w:hAnsi="Bookman Old Style" w:cs="Bookman Old Style"/>
          <w:b w:val="0"/>
          <w:bCs w:val="0"/>
          <w:sz w:val="20"/>
          <w:szCs w:val="20"/>
        </w:rPr>
        <w:t>er la</w:t>
      </w:r>
      <w:r w:rsidRPr="00DD4671">
        <w:rPr>
          <w:rFonts w:ascii="Bookman Old Style" w:hAnsi="Bookman Old Style" w:cs="Bookman Old Style"/>
          <w:b w:val="0"/>
          <w:bCs w:val="0"/>
          <w:sz w:val="20"/>
          <w:szCs w:val="20"/>
        </w:rPr>
        <w:t xml:space="preserve"> </w:t>
      </w:r>
      <w:r>
        <w:rPr>
          <w:rFonts w:ascii="Bookman Old Style" w:hAnsi="Bookman Old Style" w:cs="Bookman Old Style"/>
          <w:b w:val="0"/>
          <w:bCs w:val="0"/>
          <w:sz w:val="20"/>
          <w:szCs w:val="20"/>
        </w:rPr>
        <w:t>registrazione delle vaccinazioni effettuate.</w:t>
      </w:r>
    </w:p>
    <w:p w:rsidR="00564975" w:rsidRDefault="00564975" w:rsidP="00DD4671">
      <w:pPr>
        <w:pStyle w:val="BodyText3"/>
        <w:spacing w:before="0" w:line="360" w:lineRule="auto"/>
        <w:jc w:val="both"/>
        <w:rPr>
          <w:rFonts w:ascii="Bookman Old Style" w:hAnsi="Bookman Old Style" w:cs="Bookman Old Style"/>
          <w:b w:val="0"/>
          <w:bCs w:val="0"/>
          <w:sz w:val="20"/>
          <w:szCs w:val="20"/>
        </w:rPr>
      </w:pPr>
      <w:r w:rsidRPr="00C9469A">
        <w:rPr>
          <w:rFonts w:ascii="Bookman Old Style" w:hAnsi="Bookman Old Style" w:cs="Bookman Old Style"/>
          <w:b w:val="0"/>
          <w:bCs w:val="0"/>
          <w:sz w:val="20"/>
          <w:szCs w:val="20"/>
        </w:rPr>
        <w:t xml:space="preserve">Il MMG/PLS riceve, per ogni vaccinazione, </w:t>
      </w:r>
      <w:r>
        <w:rPr>
          <w:rFonts w:ascii="Bookman Old Style" w:hAnsi="Bookman Old Style" w:cs="Bookman Old Style"/>
          <w:b w:val="0"/>
          <w:bCs w:val="0"/>
          <w:sz w:val="20"/>
          <w:szCs w:val="20"/>
        </w:rPr>
        <w:t xml:space="preserve">registrata </w:t>
      </w:r>
      <w:r w:rsidRPr="00C9469A">
        <w:rPr>
          <w:rFonts w:ascii="Bookman Old Style" w:hAnsi="Bookman Old Style" w:cs="Bookman Old Style"/>
          <w:b w:val="0"/>
          <w:bCs w:val="0"/>
          <w:sz w:val="20"/>
          <w:szCs w:val="20"/>
        </w:rPr>
        <w:t>secondo le modalità stabilit</w:t>
      </w:r>
      <w:r>
        <w:rPr>
          <w:rFonts w:ascii="Bookman Old Style" w:hAnsi="Bookman Old Style" w:cs="Bookman Old Style"/>
          <w:b w:val="0"/>
          <w:bCs w:val="0"/>
          <w:sz w:val="20"/>
          <w:szCs w:val="20"/>
        </w:rPr>
        <w:t>e</w:t>
      </w:r>
      <w:r w:rsidRPr="00C9469A">
        <w:rPr>
          <w:rFonts w:ascii="Bookman Old Style" w:hAnsi="Bookman Old Style" w:cs="Bookman Old Style"/>
          <w:b w:val="0"/>
          <w:bCs w:val="0"/>
          <w:sz w:val="20"/>
          <w:szCs w:val="20"/>
        </w:rPr>
        <w:t xml:space="preserve"> al successivo punto </w:t>
      </w:r>
      <w:r>
        <w:rPr>
          <w:rFonts w:ascii="Bookman Old Style" w:hAnsi="Bookman Old Style" w:cs="Bookman Old Style"/>
          <w:b w:val="0"/>
          <w:bCs w:val="0"/>
          <w:sz w:val="20"/>
          <w:szCs w:val="20"/>
        </w:rPr>
        <w:t>6</w:t>
      </w:r>
      <w:r w:rsidRPr="00C9469A">
        <w:rPr>
          <w:rFonts w:ascii="Bookman Old Style" w:hAnsi="Bookman Old Style" w:cs="Bookman Old Style"/>
          <w:b w:val="0"/>
          <w:bCs w:val="0"/>
          <w:sz w:val="20"/>
          <w:szCs w:val="20"/>
        </w:rPr>
        <w:t xml:space="preserve"> ed erogata ad un assistito appartenente alla popolazione bersaglio di cui al precedente punto </w:t>
      </w:r>
      <w:r>
        <w:rPr>
          <w:rFonts w:ascii="Bookman Old Style" w:hAnsi="Bookman Old Style" w:cs="Bookman Old Style"/>
          <w:b w:val="0"/>
          <w:bCs w:val="0"/>
          <w:sz w:val="20"/>
          <w:szCs w:val="20"/>
        </w:rPr>
        <w:t>1</w:t>
      </w:r>
      <w:r w:rsidRPr="00C9469A">
        <w:rPr>
          <w:rFonts w:ascii="Bookman Old Style" w:hAnsi="Bookman Old Style" w:cs="Bookman Old Style"/>
          <w:b w:val="0"/>
          <w:bCs w:val="0"/>
          <w:sz w:val="20"/>
          <w:szCs w:val="20"/>
        </w:rPr>
        <w:t>, una remunerazione pari a € 6,16</w:t>
      </w:r>
      <w:r>
        <w:rPr>
          <w:rFonts w:ascii="Bookman Old Style" w:hAnsi="Bookman Old Style" w:cs="Bookman Old Style"/>
          <w:b w:val="0"/>
          <w:bCs w:val="0"/>
          <w:sz w:val="20"/>
          <w:szCs w:val="20"/>
        </w:rPr>
        <w:t>.</w:t>
      </w:r>
    </w:p>
    <w:p w:rsidR="00564975" w:rsidRDefault="00564975" w:rsidP="00DD4671">
      <w:pPr>
        <w:pStyle w:val="BodyText3"/>
        <w:spacing w:before="0" w:line="360" w:lineRule="auto"/>
        <w:jc w:val="both"/>
        <w:rPr>
          <w:rFonts w:ascii="Bookman Old Style" w:hAnsi="Bookman Old Style" w:cs="Bookman Old Style"/>
          <w:b w:val="0"/>
          <w:bCs w:val="0"/>
          <w:sz w:val="20"/>
          <w:szCs w:val="20"/>
        </w:rPr>
      </w:pPr>
    </w:p>
    <w:p w:rsidR="00564975" w:rsidRDefault="00564975" w:rsidP="001A6BE2">
      <w:pPr>
        <w:pStyle w:val="BodyText3"/>
        <w:jc w:val="left"/>
        <w:rPr>
          <w:rFonts w:ascii="Bookman Old Style" w:hAnsi="Bookman Old Style" w:cs="Bookman Old Style"/>
          <w:sz w:val="20"/>
          <w:szCs w:val="20"/>
        </w:rPr>
      </w:pPr>
      <w:r>
        <w:rPr>
          <w:rFonts w:ascii="Bookman Old Style" w:hAnsi="Bookman Old Style" w:cs="Bookman Old Style"/>
          <w:sz w:val="20"/>
          <w:szCs w:val="20"/>
        </w:rPr>
        <w:t>6</w:t>
      </w:r>
      <w:r w:rsidRPr="004D12A1">
        <w:rPr>
          <w:rFonts w:ascii="Bookman Old Style" w:hAnsi="Bookman Old Style" w:cs="Bookman Old Style"/>
          <w:sz w:val="20"/>
          <w:szCs w:val="20"/>
        </w:rPr>
        <w:t xml:space="preserve">) </w:t>
      </w:r>
      <w:r>
        <w:rPr>
          <w:rFonts w:ascii="Bookman Old Style" w:hAnsi="Bookman Old Style" w:cs="Bookman Old Style"/>
          <w:sz w:val="20"/>
          <w:szCs w:val="20"/>
        </w:rPr>
        <w:t>Registrazione delle vaccinazioni erogate tramite SISMED</w:t>
      </w:r>
    </w:p>
    <w:p w:rsidR="00564975" w:rsidRPr="001A6BE2" w:rsidRDefault="00564975" w:rsidP="001A6BE2">
      <w:pPr>
        <w:pStyle w:val="BodyText3"/>
        <w:jc w:val="left"/>
        <w:rPr>
          <w:rFonts w:ascii="Bookman Old Style" w:hAnsi="Bookman Old Style" w:cs="Bookman Old Style"/>
          <w:sz w:val="20"/>
          <w:szCs w:val="20"/>
        </w:rPr>
      </w:pPr>
    </w:p>
    <w:p w:rsidR="00564975" w:rsidRDefault="00564975" w:rsidP="001A6BE2">
      <w:pPr>
        <w:pStyle w:val="BodyText3"/>
        <w:spacing w:line="360" w:lineRule="auto"/>
        <w:jc w:val="both"/>
        <w:rPr>
          <w:rFonts w:ascii="Bookman Old Style" w:hAnsi="Bookman Old Style" w:cs="Bookman Old Style"/>
          <w:b w:val="0"/>
          <w:bCs w:val="0"/>
          <w:sz w:val="20"/>
          <w:szCs w:val="20"/>
        </w:rPr>
      </w:pPr>
      <w:r w:rsidRPr="001A6BE2">
        <w:rPr>
          <w:rFonts w:ascii="Bookman Old Style" w:hAnsi="Bookman Old Style" w:cs="Bookman Old Style"/>
          <w:b w:val="0"/>
          <w:bCs w:val="0"/>
          <w:sz w:val="20"/>
          <w:szCs w:val="20"/>
        </w:rPr>
        <w:t xml:space="preserve">Per la registrazione delle vaccinazioni effettuate i </w:t>
      </w:r>
      <w:r>
        <w:rPr>
          <w:rFonts w:ascii="Bookman Old Style" w:hAnsi="Bookman Old Style" w:cs="Bookman Old Style"/>
          <w:b w:val="0"/>
          <w:bCs w:val="0"/>
          <w:sz w:val="20"/>
          <w:szCs w:val="20"/>
        </w:rPr>
        <w:t xml:space="preserve">MMG e i PLS partecipanti all’intervento </w:t>
      </w:r>
      <w:r w:rsidRPr="00A6091A">
        <w:rPr>
          <w:rFonts w:ascii="Bookman Old Style" w:hAnsi="Bookman Old Style" w:cs="Bookman Old Style"/>
          <w:b w:val="0"/>
          <w:bCs w:val="0"/>
          <w:sz w:val="20"/>
          <w:szCs w:val="20"/>
        </w:rPr>
        <w:t>sono tenuti all’u</w:t>
      </w:r>
      <w:r>
        <w:rPr>
          <w:rFonts w:ascii="Bookman Old Style" w:hAnsi="Bookman Old Style" w:cs="Bookman Old Style"/>
          <w:b w:val="0"/>
          <w:bCs w:val="0"/>
          <w:sz w:val="20"/>
          <w:szCs w:val="20"/>
        </w:rPr>
        <w:t>tilizzo</w:t>
      </w:r>
      <w:r w:rsidRPr="00A6091A">
        <w:rPr>
          <w:rFonts w:ascii="Bookman Old Style" w:hAnsi="Bookman Old Style" w:cs="Bookman Old Style"/>
          <w:b w:val="0"/>
          <w:bCs w:val="0"/>
          <w:sz w:val="20"/>
          <w:szCs w:val="20"/>
        </w:rPr>
        <w:t xml:space="preserve"> del Sistema Informativo della Medicina di Base (SISMED) – Applicazione Cartella Clinica</w:t>
      </w:r>
      <w:r>
        <w:rPr>
          <w:rFonts w:ascii="Bookman Old Style" w:hAnsi="Bookman Old Style" w:cs="Bookman Old Style"/>
          <w:b w:val="0"/>
          <w:bCs w:val="0"/>
          <w:sz w:val="20"/>
          <w:szCs w:val="20"/>
        </w:rPr>
        <w:t>, reso disponibile da LAit S.p.A., con accesso da Internet, per il quale utilizzeranno le medesime credenziali di abilitazione al POS-Lazio (Portale della Sanità della Regione Lazio).</w:t>
      </w:r>
    </w:p>
    <w:p w:rsidR="00564975" w:rsidRDefault="00564975" w:rsidP="001A6BE2">
      <w:pPr>
        <w:pStyle w:val="BodyText3"/>
        <w:spacing w:before="0" w:line="360" w:lineRule="auto"/>
        <w:jc w:val="both"/>
        <w:rPr>
          <w:rFonts w:ascii="Bookman Old Style" w:hAnsi="Bookman Old Style" w:cs="Bookman Old Style"/>
          <w:b w:val="0"/>
          <w:bCs w:val="0"/>
          <w:sz w:val="20"/>
          <w:szCs w:val="20"/>
        </w:rPr>
      </w:pPr>
      <w:r>
        <w:rPr>
          <w:rFonts w:ascii="Bookman Old Style" w:hAnsi="Bookman Old Style" w:cs="Bookman Old Style"/>
          <w:b w:val="0"/>
          <w:bCs w:val="0"/>
          <w:sz w:val="20"/>
          <w:szCs w:val="20"/>
        </w:rPr>
        <w:t>Il Sistema consentirà la raccolta del debito informativo essenziale, costituito da informazioni anagrafiche e dati sanitari (categoria bersaglio) relativi al soggetto vaccinato, e da informazioni concernenti la somministrazione del vaccino (luogo e data).</w:t>
      </w:r>
    </w:p>
    <w:p w:rsidR="00564975" w:rsidRDefault="00564975" w:rsidP="000422FF">
      <w:pPr>
        <w:pStyle w:val="BodyText3"/>
        <w:spacing w:before="0" w:line="360" w:lineRule="auto"/>
        <w:jc w:val="both"/>
        <w:rPr>
          <w:rFonts w:ascii="Bookman Old Style" w:hAnsi="Bookman Old Style" w:cs="Bookman Old Style"/>
          <w:b w:val="0"/>
          <w:bCs w:val="0"/>
          <w:sz w:val="20"/>
          <w:szCs w:val="20"/>
        </w:rPr>
      </w:pPr>
      <w:r w:rsidRPr="0097518B">
        <w:rPr>
          <w:rFonts w:ascii="Bookman Old Style" w:hAnsi="Bookman Old Style" w:cs="Bookman Old Style"/>
          <w:b w:val="0"/>
          <w:bCs w:val="0"/>
          <w:sz w:val="20"/>
          <w:szCs w:val="20"/>
        </w:rPr>
        <w:t>Il Sistema integra le informazioni presenti nell’Anagrafe Sanitaria Unica Regionale (ASUR), compresi gli eventuali codici di esenzione ticket dell’assistito; inoltre, la base anagrafica caricata nell’area di lavoro del singolo medico è costituita dai suoi assistiti, con possibilità tuttavia di accedere a</w:t>
      </w:r>
      <w:r>
        <w:rPr>
          <w:rFonts w:ascii="Bookman Old Style" w:hAnsi="Bookman Old Style" w:cs="Bookman Old Style"/>
          <w:b w:val="0"/>
          <w:bCs w:val="0"/>
          <w:sz w:val="20"/>
          <w:szCs w:val="20"/>
        </w:rPr>
        <w:t xml:space="preserve"> tutta la popolazione regionale.</w:t>
      </w:r>
    </w:p>
    <w:p w:rsidR="00564975" w:rsidRDefault="00564975" w:rsidP="0097518B">
      <w:pPr>
        <w:pStyle w:val="BodyText3"/>
        <w:spacing w:before="0" w:line="360" w:lineRule="auto"/>
        <w:jc w:val="both"/>
        <w:rPr>
          <w:rFonts w:ascii="Bookman Old Style" w:hAnsi="Bookman Old Style" w:cs="Bookman Old Style"/>
          <w:b w:val="0"/>
          <w:bCs w:val="0"/>
          <w:sz w:val="20"/>
          <w:szCs w:val="20"/>
        </w:rPr>
      </w:pPr>
      <w:r>
        <w:rPr>
          <w:rFonts w:ascii="Bookman Old Style" w:hAnsi="Bookman Old Style" w:cs="Bookman Old Style"/>
          <w:b w:val="0"/>
          <w:bCs w:val="0"/>
          <w:sz w:val="20"/>
          <w:szCs w:val="20"/>
        </w:rPr>
        <w:t>I Servizi vaccinali registreranno le vaccinazioni effettuate mediante i sistemi di gestione delle vaccinazioni in uso presso la propria Azienda USL. Con successiva nota tecnica verranno definite la periodicità e le modalità di trasmissione alla Regione Lazio dei dati relativi.</w:t>
      </w:r>
    </w:p>
    <w:p w:rsidR="00564975" w:rsidRDefault="00564975" w:rsidP="0097518B">
      <w:pPr>
        <w:pStyle w:val="BodyText3"/>
        <w:spacing w:before="0" w:line="360" w:lineRule="auto"/>
        <w:jc w:val="both"/>
        <w:rPr>
          <w:rFonts w:ascii="Bookman Old Style" w:hAnsi="Bookman Old Style" w:cs="Bookman Old Style"/>
          <w:b w:val="0"/>
          <w:bCs w:val="0"/>
          <w:sz w:val="20"/>
          <w:szCs w:val="20"/>
        </w:rPr>
        <w:sectPr w:rsidR="00564975" w:rsidSect="00815735">
          <w:pgSz w:w="11906" w:h="16838"/>
          <w:pgMar w:top="1417" w:right="1134" w:bottom="1134" w:left="1134" w:header="708" w:footer="708" w:gutter="0"/>
          <w:pgNumType w:start="2"/>
          <w:cols w:space="708"/>
          <w:docGrid w:linePitch="360"/>
        </w:sectPr>
      </w:pPr>
    </w:p>
    <w:p w:rsidR="00564975" w:rsidRPr="00050698" w:rsidRDefault="00564975" w:rsidP="00050698">
      <w:pPr>
        <w:pStyle w:val="BodyText"/>
        <w:jc w:val="center"/>
        <w:rPr>
          <w:b/>
          <w:bCs/>
          <w:i w:val="0"/>
          <w:iCs w:val="0"/>
          <w:sz w:val="20"/>
          <w:szCs w:val="20"/>
          <w:u w:val="none"/>
        </w:rPr>
      </w:pPr>
      <w:r>
        <w:rPr>
          <w:b/>
          <w:bCs/>
          <w:i w:val="0"/>
          <w:iCs w:val="0"/>
          <w:sz w:val="20"/>
          <w:szCs w:val="20"/>
          <w:u w:val="none"/>
        </w:rPr>
        <w:t xml:space="preserve">RICHIESTA DOSI VACCINO </w:t>
      </w:r>
      <w:r w:rsidRPr="00050698">
        <w:rPr>
          <w:b/>
          <w:bCs/>
          <w:i w:val="0"/>
          <w:iCs w:val="0"/>
          <w:sz w:val="20"/>
          <w:szCs w:val="20"/>
          <w:u w:val="none"/>
        </w:rPr>
        <w:t xml:space="preserve">DA PARTE DEL MMG/PLS </w:t>
      </w:r>
    </w:p>
    <w:p w:rsidR="00564975" w:rsidRPr="00CA1FB6" w:rsidRDefault="00564975" w:rsidP="00050698">
      <w:pPr>
        <w:pStyle w:val="BodyTextIndent"/>
        <w:ind w:firstLine="60"/>
        <w:rPr>
          <w:rFonts w:ascii="Bookman Old Style" w:hAnsi="Bookman Old Style" w:cs="Bookman Old Style"/>
          <w:sz w:val="22"/>
          <w:szCs w:val="22"/>
        </w:rPr>
      </w:pPr>
    </w:p>
    <w:p w:rsidR="00564975" w:rsidRPr="00CA1FB6" w:rsidRDefault="00564975" w:rsidP="00050698">
      <w:pPr>
        <w:pStyle w:val="BodyTextIndent"/>
        <w:ind w:firstLine="60"/>
        <w:rPr>
          <w:rFonts w:ascii="Arial Narrow" w:hAnsi="Arial Narrow" w:cs="Arial Narrow"/>
          <w:sz w:val="20"/>
          <w:szCs w:val="20"/>
        </w:rPr>
      </w:pPr>
    </w:p>
    <w:p w:rsidR="00564975" w:rsidRPr="00CA1FB6"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ind w:firstLine="60"/>
        <w:rPr>
          <w:rFonts w:ascii="Arial Narrow" w:hAnsi="Arial Narrow" w:cs="Arial Narrow"/>
          <w:sz w:val="20"/>
          <w:szCs w:val="20"/>
        </w:rPr>
      </w:pPr>
      <w:r w:rsidRPr="00050698">
        <w:rPr>
          <w:rFonts w:ascii="Arial Narrow" w:hAnsi="Arial Narrow" w:cs="Arial Narrow"/>
          <w:sz w:val="20"/>
          <w:szCs w:val="20"/>
        </w:rPr>
        <w:t>Alla Azienda USL________________</w:t>
      </w:r>
    </w:p>
    <w:p w:rsidR="00564975" w:rsidRPr="00050698"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ind w:left="0"/>
        <w:rPr>
          <w:rFonts w:ascii="Arial Narrow" w:hAnsi="Arial Narrow" w:cs="Arial Narrow"/>
          <w:sz w:val="20"/>
          <w:szCs w:val="20"/>
        </w:rPr>
      </w:pPr>
      <w:r w:rsidRPr="00050698">
        <w:rPr>
          <w:rFonts w:ascii="Arial Narrow" w:hAnsi="Arial Narrow" w:cs="Arial Narrow"/>
          <w:sz w:val="20"/>
          <w:szCs w:val="20"/>
        </w:rPr>
        <w:t xml:space="preserve">                                                                                                                                  Distretto_____________</w:t>
      </w:r>
    </w:p>
    <w:p w:rsidR="00564975" w:rsidRPr="00050698"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ind w:firstLine="60"/>
        <w:rPr>
          <w:rFonts w:ascii="Arial Narrow" w:hAnsi="Arial Narrow" w:cs="Arial Narrow"/>
          <w:b/>
          <w:bCs/>
          <w:sz w:val="20"/>
          <w:szCs w:val="20"/>
        </w:rPr>
      </w:pPr>
      <w:r w:rsidRPr="00050698">
        <w:rPr>
          <w:rFonts w:ascii="Arial Narrow" w:hAnsi="Arial Narrow" w:cs="Arial Narrow"/>
          <w:b/>
          <w:bCs/>
          <w:sz w:val="20"/>
          <w:szCs w:val="20"/>
        </w:rPr>
        <w:t>Il sottoscritto Medico di Medicina Generale/Pediatra di Libera Scelta</w:t>
      </w:r>
    </w:p>
    <w:p w:rsidR="00564975" w:rsidRPr="00050698"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ind w:firstLine="60"/>
        <w:rPr>
          <w:rFonts w:ascii="Arial Narrow" w:hAnsi="Arial Narrow" w:cs="Arial Narrow"/>
          <w:sz w:val="20"/>
          <w:szCs w:val="20"/>
        </w:rPr>
      </w:pPr>
      <w:r w:rsidRPr="00050698">
        <w:rPr>
          <w:rFonts w:ascii="Arial Narrow" w:hAnsi="Arial Narrow" w:cs="Arial Narrow"/>
          <w:sz w:val="20"/>
          <w:szCs w:val="20"/>
        </w:rPr>
        <w:t>Dott./Dott.ssa ___________________________________________________________________________________</w:t>
      </w:r>
    </w:p>
    <w:p w:rsidR="00564975" w:rsidRPr="00050698" w:rsidRDefault="00564975" w:rsidP="00050698">
      <w:pPr>
        <w:pStyle w:val="BodyTextIndent"/>
        <w:ind w:left="2484" w:firstLine="348"/>
        <w:rPr>
          <w:rFonts w:ascii="Arial Narrow" w:hAnsi="Arial Narrow" w:cs="Arial Narrow"/>
          <w:sz w:val="20"/>
          <w:szCs w:val="20"/>
        </w:rPr>
      </w:pPr>
      <w:r w:rsidRPr="00050698">
        <w:rPr>
          <w:rFonts w:ascii="Arial Narrow" w:hAnsi="Arial Narrow" w:cs="Arial Narrow"/>
          <w:sz w:val="20"/>
          <w:szCs w:val="20"/>
        </w:rPr>
        <w:t>(nome e cognome in stampatello)</w:t>
      </w:r>
    </w:p>
    <w:p w:rsidR="00564975" w:rsidRPr="00050698"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ind w:firstLine="60"/>
        <w:rPr>
          <w:rFonts w:ascii="Arial Narrow" w:hAnsi="Arial Narrow" w:cs="Arial Narrow"/>
          <w:sz w:val="20"/>
          <w:szCs w:val="20"/>
        </w:rPr>
      </w:pPr>
      <w:r w:rsidRPr="00050698">
        <w:rPr>
          <w:rFonts w:ascii="Arial Narrow" w:hAnsi="Arial Narrow" w:cs="Arial Narrow"/>
          <w:sz w:val="20"/>
          <w:szCs w:val="20"/>
        </w:rPr>
        <w:t>N° codice regionale ___________________________________</w:t>
      </w:r>
    </w:p>
    <w:p w:rsidR="00564975" w:rsidRPr="00050698"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jc w:val="both"/>
        <w:rPr>
          <w:rFonts w:ascii="Arial Narrow" w:hAnsi="Arial Narrow" w:cs="Arial Narrow"/>
          <w:sz w:val="20"/>
          <w:szCs w:val="20"/>
        </w:rPr>
      </w:pPr>
      <w:r w:rsidRPr="00050698">
        <w:rPr>
          <w:rFonts w:ascii="Arial Narrow" w:hAnsi="Arial Narrow" w:cs="Arial Narrow"/>
          <w:b/>
          <w:bCs/>
          <w:sz w:val="20"/>
          <w:szCs w:val="20"/>
        </w:rPr>
        <w:t>Dichiara</w:t>
      </w:r>
      <w:r w:rsidRPr="00050698">
        <w:rPr>
          <w:rFonts w:ascii="Arial Narrow" w:hAnsi="Arial Narrow" w:cs="Arial Narrow"/>
          <w:sz w:val="20"/>
          <w:szCs w:val="20"/>
        </w:rPr>
        <w:t xml:space="preserve"> di essere in possesso dei requisiti tecnici per il corretto mantenimento della catena del freddo per la conservazione dei vaccini, di cui alla nota tecnica regionale Prot. n. 101093/4J/04 del 27 settembre 2007, riportata in Allegato 10 al Protocollo operativo</w:t>
      </w:r>
      <w:r>
        <w:rPr>
          <w:rFonts w:ascii="Arial Narrow" w:hAnsi="Arial Narrow" w:cs="Arial Narrow"/>
          <w:sz w:val="20"/>
          <w:szCs w:val="20"/>
        </w:rPr>
        <w:t xml:space="preserve"> della campagna di vaccinazione antinfluenzale per la stagione 2015-16</w:t>
      </w:r>
      <w:r w:rsidRPr="00050698">
        <w:rPr>
          <w:rFonts w:ascii="Arial Narrow" w:hAnsi="Arial Narrow" w:cs="Arial Narrow"/>
          <w:sz w:val="20"/>
          <w:szCs w:val="20"/>
        </w:rPr>
        <w:t>.</w:t>
      </w:r>
    </w:p>
    <w:p w:rsidR="00564975" w:rsidRPr="00050698" w:rsidRDefault="00564975" w:rsidP="00050698">
      <w:pPr>
        <w:pStyle w:val="BodyTextIndent"/>
        <w:ind w:left="420"/>
        <w:rPr>
          <w:rFonts w:ascii="Arial Narrow" w:hAnsi="Arial Narrow" w:cs="Arial Narrow"/>
          <w:sz w:val="20"/>
          <w:szCs w:val="20"/>
        </w:rPr>
      </w:pPr>
    </w:p>
    <w:p w:rsidR="00564975" w:rsidRPr="00050698" w:rsidRDefault="00564975" w:rsidP="00050698">
      <w:pPr>
        <w:pStyle w:val="BodyTextIndent"/>
        <w:ind w:left="420"/>
        <w:rPr>
          <w:rFonts w:ascii="Arial Narrow" w:hAnsi="Arial Narrow" w:cs="Arial Narrow"/>
          <w:sz w:val="20"/>
          <w:szCs w:val="20"/>
        </w:rPr>
      </w:pPr>
    </w:p>
    <w:p w:rsidR="00564975" w:rsidRPr="00050698" w:rsidRDefault="00564975" w:rsidP="00050698">
      <w:pPr>
        <w:pStyle w:val="BodyTextIndent"/>
        <w:jc w:val="both"/>
        <w:rPr>
          <w:rFonts w:ascii="Arial Narrow" w:hAnsi="Arial Narrow" w:cs="Arial Narrow"/>
          <w:sz w:val="20"/>
          <w:szCs w:val="20"/>
        </w:rPr>
      </w:pPr>
      <w:r w:rsidRPr="00050698">
        <w:rPr>
          <w:rFonts w:ascii="Arial Narrow" w:hAnsi="Arial Narrow" w:cs="Arial Narrow"/>
          <w:b/>
          <w:bCs/>
          <w:sz w:val="20"/>
          <w:szCs w:val="20"/>
        </w:rPr>
        <w:t>Richiede</w:t>
      </w:r>
      <w:r w:rsidRPr="00050698">
        <w:rPr>
          <w:rFonts w:ascii="Arial Narrow" w:hAnsi="Arial Narrow" w:cs="Arial Narrow"/>
          <w:sz w:val="20"/>
          <w:szCs w:val="20"/>
        </w:rPr>
        <w:t xml:space="preserve"> contestualmente:</w:t>
      </w:r>
    </w:p>
    <w:p w:rsidR="00564975" w:rsidRPr="00050698" w:rsidRDefault="00564975" w:rsidP="00050698">
      <w:pPr>
        <w:pStyle w:val="BodyTextIndent"/>
        <w:jc w:val="both"/>
        <w:rPr>
          <w:rFonts w:ascii="Arial Narrow" w:hAnsi="Arial Narrow" w:cs="Arial Narrow"/>
          <w:sz w:val="20"/>
          <w:szCs w:val="20"/>
        </w:rPr>
      </w:pPr>
    </w:p>
    <w:p w:rsidR="00564975" w:rsidRPr="00050698" w:rsidRDefault="00564975" w:rsidP="002F408E">
      <w:pPr>
        <w:pStyle w:val="BodyTextIndent"/>
        <w:spacing w:after="0"/>
        <w:ind w:left="714"/>
        <w:jc w:val="both"/>
        <w:rPr>
          <w:rFonts w:ascii="Arial Narrow" w:hAnsi="Arial Narrow" w:cs="Arial Narrow"/>
          <w:sz w:val="20"/>
          <w:szCs w:val="20"/>
        </w:rPr>
      </w:pPr>
      <w:r w:rsidRPr="00050698">
        <w:rPr>
          <w:rFonts w:ascii="Arial Narrow" w:hAnsi="Arial Narrow" w:cs="Arial Narrow"/>
          <w:sz w:val="20"/>
          <w:szCs w:val="20"/>
        </w:rPr>
        <w:t>la fornitura di:</w:t>
      </w:r>
    </w:p>
    <w:p w:rsidR="00564975" w:rsidRPr="00050698" w:rsidRDefault="00564975" w:rsidP="00050698">
      <w:pPr>
        <w:pStyle w:val="BodyTextIndent"/>
        <w:ind w:left="357"/>
        <w:jc w:val="both"/>
        <w:rPr>
          <w:rFonts w:ascii="Arial Narrow" w:hAnsi="Arial Narrow" w:cs="Arial Narrow"/>
          <w:sz w:val="20"/>
          <w:szCs w:val="20"/>
        </w:rPr>
      </w:pPr>
    </w:p>
    <w:p w:rsidR="00564975" w:rsidRDefault="00564975" w:rsidP="00050698">
      <w:pPr>
        <w:pStyle w:val="BodyTextIndent"/>
        <w:ind w:left="708"/>
        <w:jc w:val="both"/>
        <w:rPr>
          <w:rFonts w:ascii="Arial Narrow" w:hAnsi="Arial Narrow" w:cs="Arial Narrow"/>
          <w:sz w:val="20"/>
          <w:szCs w:val="20"/>
        </w:rPr>
      </w:pPr>
      <w:r w:rsidRPr="00050698">
        <w:rPr>
          <w:rFonts w:ascii="Arial Narrow" w:hAnsi="Arial Narrow" w:cs="Arial Narrow"/>
          <w:sz w:val="20"/>
          <w:szCs w:val="20"/>
        </w:rPr>
        <w:t xml:space="preserve">n. _________ dosi di vaccino </w:t>
      </w:r>
      <w:r>
        <w:rPr>
          <w:rFonts w:ascii="Arial Narrow" w:hAnsi="Arial Narrow" w:cs="Arial Narrow"/>
          <w:sz w:val="20"/>
          <w:szCs w:val="20"/>
        </w:rPr>
        <w:t>anti-pneumococcico coniugato (PCV) 13-valente.</w:t>
      </w:r>
    </w:p>
    <w:p w:rsidR="00564975" w:rsidRDefault="00564975" w:rsidP="00050698">
      <w:pPr>
        <w:pStyle w:val="BodyTextIndent"/>
        <w:ind w:left="708"/>
        <w:jc w:val="both"/>
        <w:rPr>
          <w:rFonts w:ascii="Arial Narrow" w:hAnsi="Arial Narrow" w:cs="Arial Narrow"/>
          <w:sz w:val="20"/>
          <w:szCs w:val="20"/>
        </w:rPr>
      </w:pPr>
    </w:p>
    <w:p w:rsidR="00564975" w:rsidRPr="00050698" w:rsidRDefault="00564975" w:rsidP="00050698">
      <w:pPr>
        <w:pStyle w:val="BodyTextIndent"/>
        <w:ind w:left="357"/>
        <w:jc w:val="both"/>
        <w:rPr>
          <w:rFonts w:ascii="Arial Narrow" w:hAnsi="Arial Narrow" w:cs="Arial Narrow"/>
          <w:sz w:val="20"/>
          <w:szCs w:val="20"/>
        </w:rPr>
      </w:pPr>
    </w:p>
    <w:p w:rsidR="00564975" w:rsidRPr="00050698" w:rsidRDefault="00564975" w:rsidP="00050698">
      <w:pPr>
        <w:pStyle w:val="BodyTextIndent"/>
        <w:ind w:firstLine="60"/>
        <w:rPr>
          <w:rFonts w:ascii="Arial Narrow" w:hAnsi="Arial Narrow" w:cs="Arial Narrow"/>
          <w:sz w:val="20"/>
          <w:szCs w:val="20"/>
        </w:rPr>
      </w:pPr>
    </w:p>
    <w:p w:rsidR="00564975" w:rsidRPr="00050698" w:rsidRDefault="00564975" w:rsidP="00050698">
      <w:pPr>
        <w:pStyle w:val="BodyTextIndent"/>
        <w:ind w:left="357"/>
        <w:jc w:val="both"/>
        <w:rPr>
          <w:rFonts w:ascii="Arial Narrow" w:hAnsi="Arial Narrow" w:cs="Arial Narrow"/>
          <w:sz w:val="20"/>
          <w:szCs w:val="20"/>
        </w:rPr>
      </w:pPr>
      <w:r w:rsidRPr="00050698">
        <w:rPr>
          <w:rFonts w:ascii="Arial Narrow" w:hAnsi="Arial Narrow" w:cs="Arial Narrow"/>
          <w:sz w:val="20"/>
          <w:szCs w:val="20"/>
        </w:rPr>
        <w:t xml:space="preserve">Data,___________________         </w:t>
      </w:r>
      <w:r w:rsidRPr="00050698">
        <w:rPr>
          <w:rFonts w:ascii="Arial Narrow" w:hAnsi="Arial Narrow" w:cs="Arial Narrow"/>
          <w:b/>
          <w:bCs/>
          <w:sz w:val="20"/>
          <w:szCs w:val="20"/>
        </w:rPr>
        <w:tab/>
      </w:r>
      <w:r w:rsidRPr="00050698">
        <w:rPr>
          <w:rFonts w:ascii="Arial Narrow" w:hAnsi="Arial Narrow" w:cs="Arial Narrow"/>
          <w:b/>
          <w:bCs/>
          <w:sz w:val="20"/>
          <w:szCs w:val="20"/>
        </w:rPr>
        <w:tab/>
      </w:r>
      <w:r w:rsidRPr="00050698">
        <w:rPr>
          <w:rFonts w:ascii="Arial Narrow" w:hAnsi="Arial Narrow" w:cs="Arial Narrow"/>
          <w:b/>
          <w:bCs/>
          <w:sz w:val="20"/>
          <w:szCs w:val="20"/>
        </w:rPr>
        <w:tab/>
      </w:r>
      <w:r w:rsidRPr="00050698">
        <w:rPr>
          <w:rFonts w:ascii="Arial Narrow" w:hAnsi="Arial Narrow" w:cs="Arial Narrow"/>
          <w:b/>
          <w:bCs/>
          <w:sz w:val="20"/>
          <w:szCs w:val="20"/>
        </w:rPr>
        <w:tab/>
      </w:r>
      <w:r w:rsidRPr="00050698">
        <w:rPr>
          <w:rFonts w:ascii="Arial Narrow" w:hAnsi="Arial Narrow" w:cs="Arial Narrow"/>
          <w:b/>
          <w:bCs/>
          <w:sz w:val="20"/>
          <w:szCs w:val="20"/>
        </w:rPr>
        <w:tab/>
      </w:r>
      <w:r w:rsidRPr="00050698">
        <w:rPr>
          <w:rFonts w:ascii="Arial Narrow" w:hAnsi="Arial Narrow" w:cs="Arial Narrow"/>
          <w:sz w:val="20"/>
          <w:szCs w:val="20"/>
        </w:rPr>
        <w:t xml:space="preserve">   Firma del medico</w:t>
      </w:r>
    </w:p>
    <w:p w:rsidR="00564975" w:rsidRPr="00050698" w:rsidRDefault="00564975" w:rsidP="00050698">
      <w:pPr>
        <w:pStyle w:val="BodyTextIndent"/>
        <w:ind w:left="4248" w:firstLine="708"/>
        <w:rPr>
          <w:rFonts w:ascii="Arial Narrow" w:hAnsi="Arial Narrow" w:cs="Arial Narrow"/>
          <w:sz w:val="20"/>
          <w:szCs w:val="20"/>
        </w:rPr>
      </w:pPr>
      <w:r w:rsidRPr="00050698">
        <w:rPr>
          <w:rFonts w:ascii="Arial Narrow" w:hAnsi="Arial Narrow" w:cs="Arial Narrow"/>
          <w:sz w:val="20"/>
          <w:szCs w:val="20"/>
        </w:rPr>
        <w:tab/>
        <w:t>_____________________________</w:t>
      </w:r>
    </w:p>
    <w:p w:rsidR="00564975" w:rsidRPr="0097518B" w:rsidRDefault="00564975" w:rsidP="0097518B">
      <w:pPr>
        <w:pStyle w:val="BodyText3"/>
        <w:spacing w:before="0" w:line="360" w:lineRule="auto"/>
        <w:jc w:val="both"/>
        <w:rPr>
          <w:rFonts w:ascii="Bookman Old Style" w:hAnsi="Bookman Old Style" w:cs="Bookman Old Style"/>
          <w:b w:val="0"/>
          <w:bCs w:val="0"/>
          <w:sz w:val="20"/>
          <w:szCs w:val="20"/>
        </w:rPr>
      </w:pPr>
    </w:p>
    <w:sectPr w:rsidR="00564975" w:rsidRPr="0097518B" w:rsidSect="007A324D">
      <w:head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975" w:rsidRDefault="00564975" w:rsidP="0017304C">
      <w:r>
        <w:separator/>
      </w:r>
    </w:p>
  </w:endnote>
  <w:endnote w:type="continuationSeparator" w:id="0">
    <w:p w:rsidR="00564975" w:rsidRDefault="00564975" w:rsidP="00173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Schoolbook">
    <w:altName w:val="Times New Roman"/>
    <w:panose1 w:val="00000000000000000000"/>
    <w:charset w:val="00"/>
    <w:family w:val="roman"/>
    <w:notTrueType/>
    <w:pitch w:val="default"/>
    <w:sig w:usb0="00000003" w:usb1="00000000" w:usb2="00000000" w:usb3="00000000" w:csb0="00000001" w:csb1="00000000"/>
  </w:font>
  <w:font w:name="HelveticaNeueLTStd-LtCn">
    <w:altName w:val="MS Mincho"/>
    <w:panose1 w:val="00000000000000000000"/>
    <w:charset w:val="80"/>
    <w:family w:val="auto"/>
    <w:notTrueType/>
    <w:pitch w:val="default"/>
    <w:sig w:usb0="00000001" w:usb1="08070000" w:usb2="00000010" w:usb3="00000000" w:csb0="00020000"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75" w:rsidRDefault="00564975">
    <w:pPr>
      <w:pStyle w:val="Footer"/>
      <w:jc w:val="right"/>
    </w:pPr>
    <w:fldSimple w:instr="PAGE   \* MERGEFORMAT">
      <w:r>
        <w:rPr>
          <w:noProof/>
        </w:rPr>
        <w:t>5</w:t>
      </w:r>
    </w:fldSimple>
  </w:p>
  <w:p w:rsidR="00564975" w:rsidRDefault="005649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75" w:rsidRDefault="00564975">
    <w:pPr>
      <w:pStyle w:val="Footer"/>
      <w:jc w:val="right"/>
    </w:pPr>
    <w:fldSimple w:instr="PAGE   \* MERGEFORMAT">
      <w:r>
        <w:rPr>
          <w:noProof/>
        </w:rPr>
        <w:t>1</w:t>
      </w:r>
    </w:fldSimple>
  </w:p>
  <w:p w:rsidR="00564975" w:rsidRDefault="00564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975" w:rsidRDefault="00564975" w:rsidP="0017304C">
      <w:r>
        <w:separator/>
      </w:r>
    </w:p>
  </w:footnote>
  <w:footnote w:type="continuationSeparator" w:id="0">
    <w:p w:rsidR="00564975" w:rsidRDefault="00564975" w:rsidP="00173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75" w:rsidRPr="00600610" w:rsidRDefault="00564975">
    <w:pPr>
      <w:pStyle w:val="Header"/>
      <w:rPr>
        <w:rFonts w:ascii="Century Schoolbook" w:hAnsi="Century Schoolbook" w:cs="Century Schoolbook"/>
        <w:b/>
        <w:bCs/>
        <w:sz w:val="20"/>
        <w:szCs w:val="20"/>
        <w:u w:val="single"/>
      </w:rPr>
    </w:pPr>
    <w:r>
      <w:rPr>
        <w:rFonts w:ascii="Century Schoolbook" w:hAnsi="Century Schoolbook" w:cs="Century Schoolbook"/>
        <w:b/>
        <w:bCs/>
        <w:sz w:val="20"/>
        <w:szCs w:val="20"/>
        <w:u w:val="single"/>
      </w:rPr>
      <w:t>ALLEGATO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75" w:rsidRPr="000D3641" w:rsidRDefault="00564975" w:rsidP="000D3641">
    <w:pPr>
      <w:pStyle w:val="Header"/>
      <w:jc w:val="center"/>
      <w:rPr>
        <w:rFonts w:ascii="Century Schoolbook" w:hAnsi="Century Schoolbook" w:cs="Century Schoolbook"/>
        <w:b/>
        <w:bCs/>
        <w:sz w:val="20"/>
        <w:szCs w:val="20"/>
      </w:rPr>
    </w:pPr>
    <w:r w:rsidRPr="000D3641">
      <w:rPr>
        <w:rFonts w:ascii="Century Schoolbook" w:hAnsi="Century Schoolbook" w:cs="Century Schoolbook"/>
        <w:b/>
        <w:bCs/>
        <w:sz w:val="20"/>
        <w:szCs w:val="20"/>
      </w:rPr>
      <w:t xml:space="preserve">ALLEGATO </w:t>
    </w:r>
    <w:r>
      <w:rPr>
        <w:rFonts w:ascii="Century Schoolbook" w:hAnsi="Century Schoolbook" w:cs="Century Schoolbook"/>
        <w:b/>
        <w:bCs/>
        <w:sz w:val="20"/>
        <w:szCs w:val="20"/>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4255"/>
    <w:multiLevelType w:val="singleLevel"/>
    <w:tmpl w:val="0FE41882"/>
    <w:name w:val="WW8Num14"/>
    <w:lvl w:ilvl="0">
      <w:start w:val="2"/>
      <w:numFmt w:val="lowerLetter"/>
      <w:lvlText w:val="%1)"/>
      <w:lvlJc w:val="left"/>
      <w:pPr>
        <w:tabs>
          <w:tab w:val="num" w:pos="360"/>
        </w:tabs>
        <w:ind w:left="360" w:hanging="360"/>
      </w:pPr>
    </w:lvl>
  </w:abstractNum>
  <w:abstractNum w:abstractNumId="1">
    <w:nsid w:val="0E0F0DB2"/>
    <w:multiLevelType w:val="hybridMultilevel"/>
    <w:tmpl w:val="419A0062"/>
    <w:lvl w:ilvl="0" w:tplc="04100001">
      <w:start w:val="1"/>
      <w:numFmt w:val="bullet"/>
      <w:lvlText w:val=""/>
      <w:lvlJc w:val="left"/>
      <w:pPr>
        <w:ind w:left="720" w:hanging="360"/>
      </w:pPr>
      <w:rPr>
        <w:rFonts w:ascii="Symbol" w:hAnsi="Symbol" w:cs="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8216B75"/>
    <w:multiLevelType w:val="hybridMultilevel"/>
    <w:tmpl w:val="5FF8289E"/>
    <w:lvl w:ilvl="0" w:tplc="1EF2A0AE">
      <w:start w:val="1"/>
      <w:numFmt w:val="bullet"/>
      <w:lvlText w:val=""/>
      <w:lvlJc w:val="left"/>
      <w:pPr>
        <w:tabs>
          <w:tab w:val="num" w:pos="1066"/>
        </w:tabs>
        <w:ind w:left="1066" w:hanging="357"/>
      </w:pPr>
      <w:rPr>
        <w:rFonts w:ascii="Wingdings" w:hAnsi="Wingdings" w:cs="Wingdings" w:hint="default"/>
      </w:rPr>
    </w:lvl>
    <w:lvl w:ilvl="1" w:tplc="04100003">
      <w:start w:val="1"/>
      <w:numFmt w:val="bullet"/>
      <w:lvlText w:val="o"/>
      <w:lvlJc w:val="left"/>
      <w:pPr>
        <w:tabs>
          <w:tab w:val="num" w:pos="2149"/>
        </w:tabs>
        <w:ind w:left="2149" w:hanging="360"/>
      </w:pPr>
      <w:rPr>
        <w:rFonts w:ascii="Courier New" w:hAnsi="Courier New" w:cs="Courier New" w:hint="default"/>
      </w:rPr>
    </w:lvl>
    <w:lvl w:ilvl="2" w:tplc="04100005">
      <w:start w:val="1"/>
      <w:numFmt w:val="bullet"/>
      <w:lvlText w:val=""/>
      <w:lvlJc w:val="left"/>
      <w:pPr>
        <w:tabs>
          <w:tab w:val="num" w:pos="2869"/>
        </w:tabs>
        <w:ind w:left="2869" w:hanging="360"/>
      </w:pPr>
      <w:rPr>
        <w:rFonts w:ascii="Wingdings" w:hAnsi="Wingdings" w:cs="Wingdings" w:hint="default"/>
      </w:rPr>
    </w:lvl>
    <w:lvl w:ilvl="3" w:tplc="04100001">
      <w:start w:val="1"/>
      <w:numFmt w:val="bullet"/>
      <w:lvlText w:val=""/>
      <w:lvlJc w:val="left"/>
      <w:pPr>
        <w:tabs>
          <w:tab w:val="num" w:pos="3589"/>
        </w:tabs>
        <w:ind w:left="3589" w:hanging="360"/>
      </w:pPr>
      <w:rPr>
        <w:rFonts w:ascii="Symbol" w:hAnsi="Symbol" w:cs="Symbol" w:hint="default"/>
      </w:rPr>
    </w:lvl>
    <w:lvl w:ilvl="4" w:tplc="04100003">
      <w:start w:val="1"/>
      <w:numFmt w:val="bullet"/>
      <w:lvlText w:val="o"/>
      <w:lvlJc w:val="left"/>
      <w:pPr>
        <w:tabs>
          <w:tab w:val="num" w:pos="4309"/>
        </w:tabs>
        <w:ind w:left="4309" w:hanging="360"/>
      </w:pPr>
      <w:rPr>
        <w:rFonts w:ascii="Courier New" w:hAnsi="Courier New" w:cs="Courier New" w:hint="default"/>
      </w:rPr>
    </w:lvl>
    <w:lvl w:ilvl="5" w:tplc="04100005">
      <w:start w:val="1"/>
      <w:numFmt w:val="bullet"/>
      <w:lvlText w:val=""/>
      <w:lvlJc w:val="left"/>
      <w:pPr>
        <w:tabs>
          <w:tab w:val="num" w:pos="5029"/>
        </w:tabs>
        <w:ind w:left="5029" w:hanging="360"/>
      </w:pPr>
      <w:rPr>
        <w:rFonts w:ascii="Wingdings" w:hAnsi="Wingdings" w:cs="Wingdings" w:hint="default"/>
      </w:rPr>
    </w:lvl>
    <w:lvl w:ilvl="6" w:tplc="04100001">
      <w:start w:val="1"/>
      <w:numFmt w:val="bullet"/>
      <w:lvlText w:val=""/>
      <w:lvlJc w:val="left"/>
      <w:pPr>
        <w:tabs>
          <w:tab w:val="num" w:pos="5749"/>
        </w:tabs>
        <w:ind w:left="5749" w:hanging="360"/>
      </w:pPr>
      <w:rPr>
        <w:rFonts w:ascii="Symbol" w:hAnsi="Symbol" w:cs="Symbol" w:hint="default"/>
      </w:rPr>
    </w:lvl>
    <w:lvl w:ilvl="7" w:tplc="04100003">
      <w:start w:val="1"/>
      <w:numFmt w:val="bullet"/>
      <w:lvlText w:val="o"/>
      <w:lvlJc w:val="left"/>
      <w:pPr>
        <w:tabs>
          <w:tab w:val="num" w:pos="6469"/>
        </w:tabs>
        <w:ind w:left="6469" w:hanging="360"/>
      </w:pPr>
      <w:rPr>
        <w:rFonts w:ascii="Courier New" w:hAnsi="Courier New" w:cs="Courier New" w:hint="default"/>
      </w:rPr>
    </w:lvl>
    <w:lvl w:ilvl="8" w:tplc="04100005">
      <w:start w:val="1"/>
      <w:numFmt w:val="bullet"/>
      <w:lvlText w:val=""/>
      <w:lvlJc w:val="left"/>
      <w:pPr>
        <w:tabs>
          <w:tab w:val="num" w:pos="7189"/>
        </w:tabs>
        <w:ind w:left="7189" w:hanging="360"/>
      </w:pPr>
      <w:rPr>
        <w:rFonts w:ascii="Wingdings" w:hAnsi="Wingdings" w:cs="Wingdings" w:hint="default"/>
      </w:rPr>
    </w:lvl>
  </w:abstractNum>
  <w:abstractNum w:abstractNumId="3">
    <w:nsid w:val="247A17BE"/>
    <w:multiLevelType w:val="hybridMultilevel"/>
    <w:tmpl w:val="07581680"/>
    <w:lvl w:ilvl="0" w:tplc="9284594A">
      <w:start w:val="1"/>
      <w:numFmt w:val="bullet"/>
      <w:lvlText w:val=""/>
      <w:lvlJc w:val="left"/>
      <w:pPr>
        <w:tabs>
          <w:tab w:val="num" w:pos="924"/>
        </w:tabs>
        <w:ind w:left="924" w:hanging="357"/>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40C05A02"/>
    <w:multiLevelType w:val="hybridMultilevel"/>
    <w:tmpl w:val="FC3E965A"/>
    <w:lvl w:ilvl="0" w:tplc="E424FEC8">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nsid w:val="43682E45"/>
    <w:multiLevelType w:val="hybridMultilevel"/>
    <w:tmpl w:val="5EA6770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498D67D1"/>
    <w:multiLevelType w:val="singleLevel"/>
    <w:tmpl w:val="1596A294"/>
    <w:lvl w:ilvl="0">
      <w:start w:val="1"/>
      <w:numFmt w:val="lowerLetter"/>
      <w:lvlText w:val="%1)"/>
      <w:lvlJc w:val="left"/>
      <w:pPr>
        <w:tabs>
          <w:tab w:val="num" w:pos="720"/>
        </w:tabs>
        <w:ind w:left="720" w:hanging="360"/>
      </w:pPr>
      <w:rPr>
        <w:rFonts w:hint="default"/>
      </w:rPr>
    </w:lvl>
  </w:abstractNum>
  <w:abstractNum w:abstractNumId="7">
    <w:nsid w:val="4B843AF8"/>
    <w:multiLevelType w:val="hybridMultilevel"/>
    <w:tmpl w:val="5EDEF56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57DE2B1E"/>
    <w:multiLevelType w:val="hybridMultilevel"/>
    <w:tmpl w:val="B9568B3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5A8F73FB"/>
    <w:multiLevelType w:val="hybridMultilevel"/>
    <w:tmpl w:val="27D0A03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608645FC"/>
    <w:multiLevelType w:val="multilevel"/>
    <w:tmpl w:val="8A541B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3CC4EB3"/>
    <w:multiLevelType w:val="hybridMultilevel"/>
    <w:tmpl w:val="FA2E791C"/>
    <w:lvl w:ilvl="0" w:tplc="FFFFFFFF">
      <w:start w:val="1"/>
      <w:numFmt w:val="bullet"/>
      <w:lvlText w:val="-"/>
      <w:lvlJc w:val="left"/>
      <w:pPr>
        <w:tabs>
          <w:tab w:val="num" w:pos="720"/>
        </w:tabs>
        <w:ind w:left="720" w:hanging="360"/>
      </w:pPr>
      <w:rPr>
        <w:rFonts w:ascii="Arial" w:eastAsia="Times New Roman" w:hAnsi="Arial" w:hint="default"/>
      </w:rPr>
    </w:lvl>
    <w:lvl w:ilvl="1" w:tplc="FFFFFFFF">
      <w:start w:val="1"/>
      <w:numFmt w:val="decimal"/>
      <w:lvlText w:val="%2."/>
      <w:lvlJc w:val="left"/>
      <w:pPr>
        <w:tabs>
          <w:tab w:val="num" w:pos="924"/>
        </w:tabs>
        <w:ind w:left="924" w:hanging="567"/>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6FB40D0B"/>
    <w:multiLevelType w:val="hybridMultilevel"/>
    <w:tmpl w:val="407A1B8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7CFC2784"/>
    <w:multiLevelType w:val="hybridMultilevel"/>
    <w:tmpl w:val="BB260F1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5"/>
  </w:num>
  <w:num w:numId="7">
    <w:abstractNumId w:val="1"/>
  </w:num>
  <w:num w:numId="8">
    <w:abstractNumId w:val="13"/>
  </w:num>
  <w:num w:numId="9">
    <w:abstractNumId w:val="9"/>
  </w:num>
  <w:num w:numId="10">
    <w:abstractNumId w:val="7"/>
  </w:num>
  <w:num w:numId="11">
    <w:abstractNumId w:val="4"/>
  </w:num>
  <w:num w:numId="12">
    <w:abstractNumId w:val="12"/>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04C"/>
    <w:rsid w:val="00000BE6"/>
    <w:rsid w:val="000143C8"/>
    <w:rsid w:val="00033FA6"/>
    <w:rsid w:val="000422FF"/>
    <w:rsid w:val="00050698"/>
    <w:rsid w:val="000C11F7"/>
    <w:rsid w:val="000D3641"/>
    <w:rsid w:val="000F1BCE"/>
    <w:rsid w:val="00103D0A"/>
    <w:rsid w:val="00116B7B"/>
    <w:rsid w:val="00143750"/>
    <w:rsid w:val="00157D47"/>
    <w:rsid w:val="0017304C"/>
    <w:rsid w:val="00176C7F"/>
    <w:rsid w:val="001A6BE2"/>
    <w:rsid w:val="002750C6"/>
    <w:rsid w:val="00291F05"/>
    <w:rsid w:val="002977FE"/>
    <w:rsid w:val="002A2DAF"/>
    <w:rsid w:val="002C2B4A"/>
    <w:rsid w:val="002F408E"/>
    <w:rsid w:val="003A4502"/>
    <w:rsid w:val="003B18C0"/>
    <w:rsid w:val="003E101E"/>
    <w:rsid w:val="004D12A1"/>
    <w:rsid w:val="00533D3B"/>
    <w:rsid w:val="00560A8B"/>
    <w:rsid w:val="00564975"/>
    <w:rsid w:val="00566B22"/>
    <w:rsid w:val="00571670"/>
    <w:rsid w:val="005F1DCD"/>
    <w:rsid w:val="00600610"/>
    <w:rsid w:val="00604FC7"/>
    <w:rsid w:val="00631520"/>
    <w:rsid w:val="00634BF5"/>
    <w:rsid w:val="00725406"/>
    <w:rsid w:val="00726488"/>
    <w:rsid w:val="00774912"/>
    <w:rsid w:val="00785FD3"/>
    <w:rsid w:val="007A324D"/>
    <w:rsid w:val="007B35A5"/>
    <w:rsid w:val="007E0076"/>
    <w:rsid w:val="00807BCD"/>
    <w:rsid w:val="00815735"/>
    <w:rsid w:val="008339CB"/>
    <w:rsid w:val="00883E24"/>
    <w:rsid w:val="008E05E6"/>
    <w:rsid w:val="0097518B"/>
    <w:rsid w:val="009A1A02"/>
    <w:rsid w:val="009B7E63"/>
    <w:rsid w:val="00A6091A"/>
    <w:rsid w:val="00A80BA8"/>
    <w:rsid w:val="00B64FFD"/>
    <w:rsid w:val="00B72EDB"/>
    <w:rsid w:val="00B77977"/>
    <w:rsid w:val="00B978F9"/>
    <w:rsid w:val="00BA4E47"/>
    <w:rsid w:val="00BD03A6"/>
    <w:rsid w:val="00BD4FF0"/>
    <w:rsid w:val="00BF2FC7"/>
    <w:rsid w:val="00C360EE"/>
    <w:rsid w:val="00C6613B"/>
    <w:rsid w:val="00C7553B"/>
    <w:rsid w:val="00C9469A"/>
    <w:rsid w:val="00CA1FB6"/>
    <w:rsid w:val="00CB214B"/>
    <w:rsid w:val="00CD539E"/>
    <w:rsid w:val="00D20CC5"/>
    <w:rsid w:val="00D35736"/>
    <w:rsid w:val="00D7182B"/>
    <w:rsid w:val="00D9081E"/>
    <w:rsid w:val="00DA56FC"/>
    <w:rsid w:val="00DB7FCE"/>
    <w:rsid w:val="00DD4671"/>
    <w:rsid w:val="00DE4911"/>
    <w:rsid w:val="00DF23A6"/>
    <w:rsid w:val="00E21FAF"/>
    <w:rsid w:val="00E36A3D"/>
    <w:rsid w:val="00E76587"/>
    <w:rsid w:val="00F17F5D"/>
    <w:rsid w:val="00F310E7"/>
    <w:rsid w:val="00F3470F"/>
    <w:rsid w:val="00F47212"/>
    <w:rsid w:val="00F475AB"/>
    <w:rsid w:val="00FD6B1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4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7304C"/>
    <w:pPr>
      <w:spacing w:before="240"/>
      <w:jc w:val="both"/>
    </w:pPr>
    <w:rPr>
      <w:rFonts w:ascii="Arial" w:hAnsi="Arial" w:cs="Arial"/>
      <w:i/>
      <w:iCs/>
      <w:sz w:val="22"/>
      <w:szCs w:val="22"/>
      <w:u w:val="single"/>
    </w:rPr>
  </w:style>
  <w:style w:type="character" w:customStyle="1" w:styleId="BodyTextChar">
    <w:name w:val="Body Text Char"/>
    <w:basedOn w:val="DefaultParagraphFont"/>
    <w:link w:val="BodyText"/>
    <w:uiPriority w:val="99"/>
    <w:locked/>
    <w:rsid w:val="0017304C"/>
    <w:rPr>
      <w:rFonts w:ascii="Arial" w:hAnsi="Arial" w:cs="Arial"/>
      <w:i/>
      <w:iCs/>
      <w:u w:val="single"/>
      <w:lang w:eastAsia="it-IT"/>
    </w:rPr>
  </w:style>
  <w:style w:type="paragraph" w:styleId="BodyText3">
    <w:name w:val="Body Text 3"/>
    <w:basedOn w:val="Normal"/>
    <w:link w:val="BodyText3Char"/>
    <w:uiPriority w:val="99"/>
    <w:rsid w:val="0017304C"/>
    <w:pPr>
      <w:spacing w:before="120"/>
      <w:jc w:val="center"/>
    </w:pPr>
    <w:rPr>
      <w:rFonts w:ascii="Arial" w:hAnsi="Arial" w:cs="Arial"/>
      <w:b/>
      <w:bCs/>
      <w:sz w:val="22"/>
      <w:szCs w:val="22"/>
    </w:rPr>
  </w:style>
  <w:style w:type="character" w:customStyle="1" w:styleId="BodyText3Char">
    <w:name w:val="Body Text 3 Char"/>
    <w:basedOn w:val="DefaultParagraphFont"/>
    <w:link w:val="BodyText3"/>
    <w:uiPriority w:val="99"/>
    <w:locked/>
    <w:rsid w:val="0017304C"/>
    <w:rPr>
      <w:rFonts w:ascii="Arial" w:hAnsi="Arial" w:cs="Arial"/>
      <w:b/>
      <w:bCs/>
      <w:lang w:eastAsia="it-IT"/>
    </w:rPr>
  </w:style>
  <w:style w:type="paragraph" w:styleId="FootnoteText">
    <w:name w:val="footnote text"/>
    <w:basedOn w:val="Normal"/>
    <w:link w:val="FootnoteTextChar"/>
    <w:uiPriority w:val="99"/>
    <w:semiHidden/>
    <w:rsid w:val="0017304C"/>
    <w:rPr>
      <w:sz w:val="20"/>
      <w:szCs w:val="20"/>
    </w:rPr>
  </w:style>
  <w:style w:type="character" w:customStyle="1" w:styleId="FootnoteTextChar">
    <w:name w:val="Footnote Text Char"/>
    <w:basedOn w:val="DefaultParagraphFont"/>
    <w:link w:val="FootnoteText"/>
    <w:uiPriority w:val="99"/>
    <w:semiHidden/>
    <w:locked/>
    <w:rsid w:val="0017304C"/>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17304C"/>
    <w:rPr>
      <w:vertAlign w:val="superscript"/>
    </w:rPr>
  </w:style>
  <w:style w:type="paragraph" w:styleId="ListParagraph">
    <w:name w:val="List Paragraph"/>
    <w:basedOn w:val="Normal"/>
    <w:uiPriority w:val="99"/>
    <w:qFormat/>
    <w:rsid w:val="00FD6B11"/>
    <w:pPr>
      <w:ind w:left="720"/>
    </w:pPr>
  </w:style>
  <w:style w:type="character" w:styleId="PageNumber">
    <w:name w:val="page number"/>
    <w:basedOn w:val="DefaultParagraphFont"/>
    <w:uiPriority w:val="99"/>
    <w:rsid w:val="00DD4671"/>
  </w:style>
  <w:style w:type="character" w:styleId="Hyperlink">
    <w:name w:val="Hyperlink"/>
    <w:basedOn w:val="DefaultParagraphFont"/>
    <w:uiPriority w:val="99"/>
    <w:rsid w:val="00F17F5D"/>
    <w:rPr>
      <w:color w:val="0000FF"/>
      <w:u w:val="single"/>
    </w:rPr>
  </w:style>
  <w:style w:type="character" w:styleId="FollowedHyperlink">
    <w:name w:val="FollowedHyperlink"/>
    <w:basedOn w:val="DefaultParagraphFont"/>
    <w:uiPriority w:val="99"/>
    <w:semiHidden/>
    <w:rsid w:val="00F17F5D"/>
    <w:rPr>
      <w:color w:val="800080"/>
      <w:u w:val="single"/>
    </w:rPr>
  </w:style>
  <w:style w:type="paragraph" w:styleId="BodyTextIndent">
    <w:name w:val="Body Text Indent"/>
    <w:basedOn w:val="Normal"/>
    <w:link w:val="BodyTextIndentChar"/>
    <w:uiPriority w:val="99"/>
    <w:semiHidden/>
    <w:rsid w:val="00050698"/>
    <w:pPr>
      <w:spacing w:after="120"/>
      <w:ind w:left="283"/>
    </w:pPr>
  </w:style>
  <w:style w:type="character" w:customStyle="1" w:styleId="BodyTextIndentChar">
    <w:name w:val="Body Text Indent Char"/>
    <w:basedOn w:val="DefaultParagraphFont"/>
    <w:link w:val="BodyTextIndent"/>
    <w:uiPriority w:val="99"/>
    <w:semiHidden/>
    <w:locked/>
    <w:rsid w:val="00050698"/>
    <w:rPr>
      <w:rFonts w:ascii="Times New Roman" w:hAnsi="Times New Roman" w:cs="Times New Roman"/>
      <w:sz w:val="24"/>
      <w:szCs w:val="24"/>
      <w:lang w:eastAsia="it-IT"/>
    </w:rPr>
  </w:style>
  <w:style w:type="paragraph" w:styleId="Header">
    <w:name w:val="header"/>
    <w:basedOn w:val="Normal"/>
    <w:link w:val="HeaderChar"/>
    <w:uiPriority w:val="99"/>
    <w:rsid w:val="00050698"/>
    <w:pPr>
      <w:tabs>
        <w:tab w:val="center" w:pos="4819"/>
        <w:tab w:val="right" w:pos="9638"/>
      </w:tabs>
    </w:pPr>
  </w:style>
  <w:style w:type="character" w:customStyle="1" w:styleId="HeaderChar">
    <w:name w:val="Header Char"/>
    <w:basedOn w:val="DefaultParagraphFont"/>
    <w:link w:val="Header"/>
    <w:uiPriority w:val="99"/>
    <w:locked/>
    <w:rsid w:val="00050698"/>
    <w:rPr>
      <w:rFonts w:ascii="Times New Roman" w:hAnsi="Times New Roman" w:cs="Times New Roman"/>
      <w:sz w:val="24"/>
      <w:szCs w:val="24"/>
      <w:lang w:eastAsia="it-IT"/>
    </w:rPr>
  </w:style>
  <w:style w:type="paragraph" w:styleId="Footer">
    <w:name w:val="footer"/>
    <w:basedOn w:val="Normal"/>
    <w:link w:val="FooterChar"/>
    <w:uiPriority w:val="99"/>
    <w:rsid w:val="00050698"/>
    <w:pPr>
      <w:tabs>
        <w:tab w:val="center" w:pos="4819"/>
        <w:tab w:val="right" w:pos="9638"/>
      </w:tabs>
    </w:pPr>
  </w:style>
  <w:style w:type="character" w:customStyle="1" w:styleId="FooterChar">
    <w:name w:val="Footer Char"/>
    <w:basedOn w:val="DefaultParagraphFont"/>
    <w:link w:val="Footer"/>
    <w:uiPriority w:val="99"/>
    <w:locked/>
    <w:rsid w:val="00050698"/>
    <w:rPr>
      <w:rFonts w:ascii="Times New Roman" w:hAnsi="Times New Roman" w:cs="Times New Roman"/>
      <w:sz w:val="24"/>
      <w:szCs w:val="24"/>
      <w:lang w:eastAsia="it-IT"/>
    </w:rPr>
  </w:style>
  <w:style w:type="paragraph" w:styleId="BalloonText">
    <w:name w:val="Balloon Text"/>
    <w:basedOn w:val="Normal"/>
    <w:link w:val="BalloonTextChar"/>
    <w:uiPriority w:val="99"/>
    <w:semiHidden/>
    <w:rsid w:val="000D36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641"/>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enziafarmaco.gov.it/it/content/modalit%C3%A0-di-segnalazione-delle-sospette-reazioni-avverse-ai-medicinali" TargetMode="External"/><Relationship Id="rId5" Type="http://schemas.openxmlformats.org/officeDocument/2006/relationships/footnotes" Target="footnotes.xml"/><Relationship Id="rId10" Type="http://schemas.openxmlformats.org/officeDocument/2006/relationships/hyperlink" Target="https://farmaci.agenziafarmaco.gov.it/aifa/servlet/PdfDownloadServlet?pdfFileName=footer_001533_039550_RCP.pdf&amp;retry=0&amp;sys=m0b1l3"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1852</Words>
  <Characters>10560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di vaccinazione con vaccino anti-pneumococcico coniugato (PCV) 13-valente</dc:title>
  <dc:subject/>
  <dc:creator>Enrico Volpe</dc:creator>
  <cp:keywords/>
  <dc:description/>
  <cp:lastModifiedBy>aspadea</cp:lastModifiedBy>
  <cp:revision>2</cp:revision>
  <cp:lastPrinted>2015-09-17T12:03:00Z</cp:lastPrinted>
  <dcterms:created xsi:type="dcterms:W3CDTF">2015-09-24T09:02:00Z</dcterms:created>
  <dcterms:modified xsi:type="dcterms:W3CDTF">2015-09-24T09:03:00Z</dcterms:modified>
</cp:coreProperties>
</file>